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87986" w14:textId="77777777" w:rsidR="00BE02EC" w:rsidRPr="00C83A12" w:rsidRDefault="000A2318" w:rsidP="004131E1">
      <w:pPr>
        <w:spacing w:line="300" w:lineRule="exact"/>
        <w:rPr>
          <w:rFonts w:cs="Arial"/>
        </w:rPr>
      </w:pPr>
      <w:r w:rsidRPr="000D766F">
        <w:rPr>
          <w:rFonts w:cs="Arial"/>
        </w:rPr>
        <w:t>19</w:t>
      </w:r>
      <w:r w:rsidR="00152DD2" w:rsidRPr="000D766F">
        <w:rPr>
          <w:rFonts w:cs="Arial"/>
        </w:rPr>
        <w:t xml:space="preserve"> </w:t>
      </w:r>
      <w:r w:rsidR="00081846" w:rsidRPr="000D766F">
        <w:rPr>
          <w:rFonts w:cs="Arial"/>
        </w:rPr>
        <w:t>January 2017</w:t>
      </w:r>
    </w:p>
    <w:p w14:paraId="469AE0E5" w14:textId="77777777" w:rsidR="00802624" w:rsidRPr="00C83A12" w:rsidRDefault="00802624" w:rsidP="004131E1">
      <w:pPr>
        <w:spacing w:line="300" w:lineRule="exact"/>
        <w:rPr>
          <w:rFonts w:cs="Arial"/>
        </w:rPr>
      </w:pPr>
    </w:p>
    <w:p w14:paraId="3EB29B84" w14:textId="77777777" w:rsidR="00BE7409" w:rsidRPr="00C83A12" w:rsidRDefault="000A2318" w:rsidP="004131E1">
      <w:pPr>
        <w:spacing w:line="300" w:lineRule="exact"/>
        <w:rPr>
          <w:rFonts w:eastAsia="Times New Roman" w:cs="Arial"/>
          <w:lang w:val="en-US"/>
        </w:rPr>
      </w:pPr>
      <w:r w:rsidRPr="00C83A12">
        <w:rPr>
          <w:rFonts w:eastAsia="Times New Roman" w:cs="Arial"/>
          <w:lang w:val="en-US"/>
        </w:rPr>
        <w:t>The Hon Michael McCormack MP</w:t>
      </w:r>
      <w:r w:rsidR="00BE7409" w:rsidRPr="00C83A12">
        <w:rPr>
          <w:rFonts w:eastAsia="Times New Roman" w:cs="Arial"/>
          <w:lang w:val="en-US"/>
        </w:rPr>
        <w:t xml:space="preserve"> </w:t>
      </w:r>
    </w:p>
    <w:p w14:paraId="6504E720" w14:textId="77777777" w:rsidR="000A2318" w:rsidRPr="00C83A12" w:rsidRDefault="000A2318" w:rsidP="004131E1">
      <w:pPr>
        <w:spacing w:line="300" w:lineRule="exact"/>
        <w:rPr>
          <w:rFonts w:eastAsia="Times New Roman" w:cs="Arial"/>
          <w:lang w:val="en-US"/>
        </w:rPr>
      </w:pPr>
      <w:r w:rsidRPr="00C83A12">
        <w:rPr>
          <w:rFonts w:eastAsia="Times New Roman" w:cs="Arial"/>
          <w:lang w:val="en-US"/>
        </w:rPr>
        <w:t>Minister for Small Business</w:t>
      </w:r>
    </w:p>
    <w:p w14:paraId="08239E1B" w14:textId="77777777" w:rsidR="00AC38CD" w:rsidRPr="00C83A12" w:rsidRDefault="000A2318" w:rsidP="004131E1">
      <w:pPr>
        <w:spacing w:line="300" w:lineRule="exact"/>
        <w:rPr>
          <w:rFonts w:eastAsia="Times New Roman" w:cs="Arial"/>
          <w:lang w:val="en-US"/>
        </w:rPr>
      </w:pPr>
      <w:r w:rsidRPr="00C83A12">
        <w:rPr>
          <w:rFonts w:eastAsia="Times New Roman" w:cs="Arial"/>
          <w:lang w:val="en-US"/>
        </w:rPr>
        <w:t xml:space="preserve">C/- The Treasury </w:t>
      </w:r>
    </w:p>
    <w:p w14:paraId="59751F5D" w14:textId="77777777" w:rsidR="000A2318" w:rsidRPr="00C83A12" w:rsidRDefault="000A2318" w:rsidP="004131E1">
      <w:pPr>
        <w:spacing w:line="300" w:lineRule="exact"/>
        <w:rPr>
          <w:rFonts w:eastAsia="Times New Roman" w:cs="Arial"/>
          <w:lang w:val="en-US"/>
        </w:rPr>
      </w:pPr>
      <w:r w:rsidRPr="00C83A12">
        <w:rPr>
          <w:rFonts w:eastAsia="Times New Roman" w:cs="Arial"/>
          <w:lang w:val="en-US"/>
        </w:rPr>
        <w:t>Langton Crescent</w:t>
      </w:r>
    </w:p>
    <w:p w14:paraId="7D411D68" w14:textId="77777777" w:rsidR="000A2318" w:rsidRPr="00C83A12" w:rsidRDefault="000A2318" w:rsidP="004131E1">
      <w:pPr>
        <w:spacing w:line="300" w:lineRule="exact"/>
        <w:rPr>
          <w:rFonts w:eastAsia="Times New Roman" w:cs="Arial"/>
          <w:lang w:val="en-US"/>
        </w:rPr>
      </w:pPr>
      <w:r w:rsidRPr="00C83A12">
        <w:rPr>
          <w:rFonts w:eastAsia="Times New Roman" w:cs="Arial"/>
          <w:lang w:val="en-US"/>
        </w:rPr>
        <w:t>PARKES ACT 2600</w:t>
      </w:r>
    </w:p>
    <w:p w14:paraId="46120AD4" w14:textId="77777777" w:rsidR="000A2318" w:rsidRPr="00C83A12" w:rsidRDefault="000A2318" w:rsidP="004131E1">
      <w:pPr>
        <w:spacing w:line="300" w:lineRule="exact"/>
        <w:rPr>
          <w:rFonts w:eastAsia="Times New Roman" w:cs="Arial"/>
          <w:lang w:val="en-US"/>
        </w:rPr>
      </w:pPr>
    </w:p>
    <w:p w14:paraId="3D363E28" w14:textId="77777777" w:rsidR="00AC38CD" w:rsidRPr="00C83A12" w:rsidRDefault="00AC38CD" w:rsidP="004131E1">
      <w:pPr>
        <w:spacing w:line="300" w:lineRule="exact"/>
        <w:rPr>
          <w:rFonts w:eastAsia="Times New Roman" w:cs="Arial"/>
          <w:lang w:val="en-US"/>
        </w:rPr>
      </w:pPr>
    </w:p>
    <w:p w14:paraId="64FB67E2" w14:textId="7F7BFFD0" w:rsidR="006F461D" w:rsidRPr="00C83A12" w:rsidRDefault="006F461D" w:rsidP="004131E1">
      <w:pPr>
        <w:spacing w:line="300" w:lineRule="exact"/>
        <w:rPr>
          <w:rFonts w:eastAsia="Times New Roman" w:cs="Arial"/>
          <w:lang w:val="en-US"/>
        </w:rPr>
      </w:pPr>
      <w:r w:rsidRPr="00C83A12">
        <w:rPr>
          <w:rFonts w:eastAsia="Times New Roman" w:cs="Arial"/>
          <w:lang w:val="en-US"/>
        </w:rPr>
        <w:t xml:space="preserve">Dear </w:t>
      </w:r>
      <w:r w:rsidR="000A2318" w:rsidRPr="00C83A12">
        <w:rPr>
          <w:rFonts w:eastAsia="Times New Roman" w:cs="Arial"/>
          <w:lang w:val="en-US"/>
        </w:rPr>
        <w:t>Minister</w:t>
      </w:r>
    </w:p>
    <w:p w14:paraId="1BCD43C3" w14:textId="77777777" w:rsidR="008B44A4" w:rsidRPr="00C83A12" w:rsidRDefault="008B44A4" w:rsidP="004131E1">
      <w:pPr>
        <w:spacing w:line="300" w:lineRule="exact"/>
        <w:jc w:val="center"/>
        <w:rPr>
          <w:rFonts w:cs="Arial"/>
        </w:rPr>
      </w:pPr>
    </w:p>
    <w:p w14:paraId="2CAD5094" w14:textId="77777777" w:rsidR="0074311C" w:rsidRPr="00C83A12" w:rsidRDefault="000A2318" w:rsidP="004131E1">
      <w:pPr>
        <w:spacing w:line="300" w:lineRule="exact"/>
        <w:rPr>
          <w:rFonts w:cs="Arial"/>
          <w:b/>
        </w:rPr>
      </w:pPr>
      <w:r w:rsidRPr="00C83A12">
        <w:rPr>
          <w:rFonts w:cs="Arial"/>
          <w:b/>
        </w:rPr>
        <w:t>2017-18 Pre-Budget Submission</w:t>
      </w:r>
    </w:p>
    <w:p w14:paraId="0FF91536" w14:textId="77777777" w:rsidR="0040318B" w:rsidRPr="00C83A12" w:rsidRDefault="0040318B" w:rsidP="004131E1">
      <w:pPr>
        <w:autoSpaceDE w:val="0"/>
        <w:autoSpaceDN w:val="0"/>
        <w:adjustRightInd w:val="0"/>
        <w:spacing w:line="300" w:lineRule="exact"/>
        <w:rPr>
          <w:rFonts w:eastAsia="Times New Roman" w:cs="Arial"/>
          <w:color w:val="231F20"/>
          <w:lang w:val="en-US"/>
        </w:rPr>
      </w:pPr>
    </w:p>
    <w:p w14:paraId="5DDA4D22" w14:textId="77777777" w:rsidR="007F1BC7" w:rsidRDefault="007B0533" w:rsidP="007F1BC7">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As the peak body for Australia’s $2.5 billi</w:t>
      </w:r>
      <w:r w:rsidR="007F1BC7">
        <w:rPr>
          <w:rFonts w:eastAsia="Times New Roman" w:cs="Arial"/>
          <w:color w:val="231F20"/>
          <w:lang w:val="en-US"/>
        </w:rPr>
        <w:t>on live performance industry, Live Performance Australia</w:t>
      </w:r>
      <w:r w:rsidR="002F0337" w:rsidRPr="00C83A12">
        <w:rPr>
          <w:rFonts w:eastAsia="Times New Roman" w:cs="Arial"/>
          <w:color w:val="231F20"/>
          <w:lang w:val="en-US"/>
        </w:rPr>
        <w:t xml:space="preserve"> </w:t>
      </w:r>
      <w:r w:rsidRPr="00C83A12">
        <w:rPr>
          <w:rFonts w:eastAsia="Times New Roman" w:cs="Arial"/>
          <w:color w:val="231F20"/>
          <w:lang w:val="en-US"/>
        </w:rPr>
        <w:t>welcome</w:t>
      </w:r>
      <w:r w:rsidR="007F1BC7">
        <w:rPr>
          <w:rFonts w:eastAsia="Times New Roman" w:cs="Arial"/>
          <w:color w:val="231F20"/>
          <w:lang w:val="en-US"/>
        </w:rPr>
        <w:t>s</w:t>
      </w:r>
      <w:r w:rsidR="002F0337" w:rsidRPr="00C83A12">
        <w:rPr>
          <w:rFonts w:eastAsia="Times New Roman" w:cs="Arial"/>
          <w:color w:val="231F20"/>
          <w:lang w:val="en-US"/>
        </w:rPr>
        <w:t xml:space="preserve"> </w:t>
      </w:r>
      <w:r w:rsidR="00B27579" w:rsidRPr="00C83A12">
        <w:rPr>
          <w:rFonts w:eastAsia="Times New Roman" w:cs="Arial"/>
          <w:color w:val="231F20"/>
          <w:lang w:val="en-US"/>
        </w:rPr>
        <w:t xml:space="preserve">the opportunity to make </w:t>
      </w:r>
      <w:r w:rsidR="002F0337" w:rsidRPr="00C83A12">
        <w:rPr>
          <w:rFonts w:eastAsia="Times New Roman" w:cs="Arial"/>
          <w:color w:val="231F20"/>
          <w:lang w:val="en-US"/>
        </w:rPr>
        <w:t xml:space="preserve">a </w:t>
      </w:r>
      <w:r w:rsidR="00B27579" w:rsidRPr="00C83A12">
        <w:rPr>
          <w:rFonts w:eastAsia="Times New Roman" w:cs="Arial"/>
          <w:color w:val="231F20"/>
          <w:lang w:val="en-US"/>
        </w:rPr>
        <w:t xml:space="preserve">submission to the 2017-18 Budget. </w:t>
      </w:r>
    </w:p>
    <w:p w14:paraId="68F28667" w14:textId="77777777" w:rsidR="007F1BC7" w:rsidRDefault="007F1BC7" w:rsidP="007F1BC7">
      <w:pPr>
        <w:autoSpaceDE w:val="0"/>
        <w:autoSpaceDN w:val="0"/>
        <w:adjustRightInd w:val="0"/>
        <w:spacing w:line="300" w:lineRule="exact"/>
        <w:rPr>
          <w:rFonts w:eastAsia="Times New Roman" w:cs="Arial"/>
          <w:color w:val="231F20"/>
          <w:lang w:val="en-US"/>
        </w:rPr>
      </w:pPr>
    </w:p>
    <w:p w14:paraId="1C8CBA78" w14:textId="1ACDEC64" w:rsidR="007F1BC7" w:rsidRPr="00C83A12" w:rsidRDefault="007F1BC7" w:rsidP="007F1BC7">
      <w:pPr>
        <w:autoSpaceDE w:val="0"/>
        <w:autoSpaceDN w:val="0"/>
        <w:adjustRightInd w:val="0"/>
        <w:spacing w:line="300" w:lineRule="exact"/>
        <w:rPr>
          <w:rFonts w:eastAsia="Times New Roman" w:cs="Arial"/>
          <w:color w:val="231F20"/>
          <w:lang w:val="en-US"/>
        </w:rPr>
      </w:pPr>
      <w:r>
        <w:rPr>
          <w:rFonts w:eastAsia="Times New Roman" w:cs="Arial"/>
          <w:color w:val="231F20"/>
          <w:lang w:val="en-US"/>
        </w:rPr>
        <w:t xml:space="preserve">The live performance industry </w:t>
      </w:r>
      <w:r w:rsidRPr="00C83A12">
        <w:rPr>
          <w:rFonts w:eastAsia="Times New Roman" w:cs="Arial"/>
          <w:color w:val="231F20"/>
          <w:lang w:val="en-US"/>
        </w:rPr>
        <w:t>employs</w:t>
      </w:r>
      <w:r>
        <w:rPr>
          <w:rFonts w:eastAsia="Times New Roman" w:cs="Arial"/>
          <w:color w:val="231F20"/>
          <w:lang w:val="en-US"/>
        </w:rPr>
        <w:t xml:space="preserve"> over 34,000 people nationally; </w:t>
      </w:r>
      <w:r w:rsidRPr="00C83A12">
        <w:rPr>
          <w:rFonts w:eastAsia="Times New Roman" w:cs="Arial"/>
          <w:color w:val="231F20"/>
          <w:lang w:val="en-US"/>
        </w:rPr>
        <w:t>supports more than 500 performing arts companies around Australia plus hundreds of venues, producers and music promoters.</w:t>
      </w:r>
      <w:r>
        <w:rPr>
          <w:rFonts w:eastAsia="Times New Roman" w:cs="Arial"/>
          <w:color w:val="231F20"/>
          <w:lang w:val="en-US"/>
        </w:rPr>
        <w:t xml:space="preserve"> It supports the development of world-class talent both on stage and in production and technical areas. The industry</w:t>
      </w:r>
      <w:r w:rsidRPr="00C83A12">
        <w:rPr>
          <w:rFonts w:eastAsia="Times New Roman" w:cs="Arial"/>
          <w:color w:val="231F20"/>
          <w:lang w:val="en-US"/>
        </w:rPr>
        <w:t xml:space="preserve"> attracts more than 18 million people to shows in capital cities, regional </w:t>
      </w:r>
      <w:proofErr w:type="spellStart"/>
      <w:r w:rsidRPr="00C83A12">
        <w:rPr>
          <w:rFonts w:eastAsia="Times New Roman" w:cs="Arial"/>
          <w:color w:val="231F20"/>
          <w:lang w:val="en-US"/>
        </w:rPr>
        <w:t>centres</w:t>
      </w:r>
      <w:proofErr w:type="spellEnd"/>
      <w:r w:rsidRPr="00C83A12">
        <w:rPr>
          <w:rFonts w:eastAsia="Times New Roman" w:cs="Arial"/>
          <w:color w:val="231F20"/>
          <w:lang w:val="en-US"/>
        </w:rPr>
        <w:t xml:space="preserve"> and country towns.</w:t>
      </w:r>
      <w:r>
        <w:rPr>
          <w:rFonts w:eastAsia="Times New Roman" w:cs="Arial"/>
          <w:color w:val="231F20"/>
          <w:lang w:val="en-US"/>
        </w:rPr>
        <w:t xml:space="preserve"> </w:t>
      </w:r>
    </w:p>
    <w:p w14:paraId="411C98E9" w14:textId="494227F5" w:rsidR="001D01F8" w:rsidRDefault="001D01F8" w:rsidP="004131E1">
      <w:pPr>
        <w:autoSpaceDE w:val="0"/>
        <w:autoSpaceDN w:val="0"/>
        <w:adjustRightInd w:val="0"/>
        <w:spacing w:line="300" w:lineRule="exact"/>
        <w:rPr>
          <w:rFonts w:eastAsia="Times New Roman" w:cs="Arial"/>
          <w:color w:val="231F20"/>
          <w:lang w:val="en-US"/>
        </w:rPr>
      </w:pPr>
    </w:p>
    <w:p w14:paraId="0A03BF4B" w14:textId="77777777" w:rsidR="007F1BC7" w:rsidRDefault="002F0337"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We understand </w:t>
      </w:r>
      <w:r w:rsidR="00B42B2A" w:rsidRPr="00C83A12">
        <w:rPr>
          <w:rFonts w:eastAsia="Times New Roman" w:cs="Arial"/>
          <w:color w:val="231F20"/>
          <w:lang w:val="en-US"/>
        </w:rPr>
        <w:t xml:space="preserve">the forthcoming Budget </w:t>
      </w:r>
      <w:r w:rsidR="001D2282" w:rsidRPr="00C83A12">
        <w:rPr>
          <w:rFonts w:eastAsia="Times New Roman" w:cs="Arial"/>
          <w:color w:val="231F20"/>
          <w:lang w:val="en-US"/>
        </w:rPr>
        <w:t xml:space="preserve">is focused on </w:t>
      </w:r>
      <w:r w:rsidR="00B42B2A" w:rsidRPr="00C83A12">
        <w:rPr>
          <w:rFonts w:eastAsia="Times New Roman" w:cs="Arial"/>
          <w:color w:val="231F20"/>
          <w:lang w:val="en-US"/>
        </w:rPr>
        <w:t>support</w:t>
      </w:r>
      <w:r w:rsidR="001D2282" w:rsidRPr="00C83A12">
        <w:rPr>
          <w:rFonts w:eastAsia="Times New Roman" w:cs="Arial"/>
          <w:color w:val="231F20"/>
          <w:lang w:val="en-US"/>
        </w:rPr>
        <w:t>ing</w:t>
      </w:r>
      <w:r w:rsidRPr="00C83A12">
        <w:rPr>
          <w:rFonts w:eastAsia="Times New Roman" w:cs="Arial"/>
          <w:color w:val="231F20"/>
          <w:lang w:val="en-US"/>
        </w:rPr>
        <w:t xml:space="preserve"> economic growth, job creation and restrain</w:t>
      </w:r>
      <w:r w:rsidR="001D2282" w:rsidRPr="00C83A12">
        <w:rPr>
          <w:rFonts w:eastAsia="Times New Roman" w:cs="Arial"/>
          <w:color w:val="231F20"/>
          <w:lang w:val="en-US"/>
        </w:rPr>
        <w:t>ing</w:t>
      </w:r>
      <w:r w:rsidRPr="00C83A12">
        <w:rPr>
          <w:rFonts w:eastAsia="Times New Roman" w:cs="Arial"/>
          <w:color w:val="231F20"/>
          <w:lang w:val="en-US"/>
        </w:rPr>
        <w:t xml:space="preserve"> government expenditure. </w:t>
      </w:r>
      <w:r w:rsidR="001D01F8">
        <w:rPr>
          <w:rFonts w:eastAsia="Times New Roman" w:cs="Arial"/>
          <w:color w:val="231F20"/>
          <w:lang w:val="en-US"/>
        </w:rPr>
        <w:t xml:space="preserve">Our submission offers proposals on how Australia’s live performance industry can support these objectives. </w:t>
      </w:r>
    </w:p>
    <w:p w14:paraId="23408871" w14:textId="77777777" w:rsidR="007F1BC7" w:rsidRDefault="007F1BC7" w:rsidP="004131E1">
      <w:pPr>
        <w:autoSpaceDE w:val="0"/>
        <w:autoSpaceDN w:val="0"/>
        <w:adjustRightInd w:val="0"/>
        <w:spacing w:line="300" w:lineRule="exact"/>
        <w:rPr>
          <w:rFonts w:eastAsia="Times New Roman" w:cs="Arial"/>
          <w:color w:val="231F20"/>
          <w:lang w:val="en-US"/>
        </w:rPr>
      </w:pPr>
    </w:p>
    <w:p w14:paraId="61AF6B1E" w14:textId="4CCE5931" w:rsidR="00E509C3" w:rsidRDefault="004131E1"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We also urge the Government to restore </w:t>
      </w:r>
      <w:r w:rsidR="001D01F8">
        <w:rPr>
          <w:rFonts w:eastAsia="Times New Roman" w:cs="Arial"/>
          <w:color w:val="231F20"/>
          <w:lang w:val="en-US"/>
        </w:rPr>
        <w:t xml:space="preserve">funding </w:t>
      </w:r>
      <w:r w:rsidRPr="00C83A12">
        <w:rPr>
          <w:rFonts w:eastAsia="Times New Roman" w:cs="Arial"/>
          <w:color w:val="231F20"/>
          <w:lang w:val="en-US"/>
        </w:rPr>
        <w:t>stability to the arts sector</w:t>
      </w:r>
      <w:r w:rsidR="000D766F">
        <w:rPr>
          <w:rFonts w:eastAsia="Times New Roman" w:cs="Arial"/>
          <w:color w:val="231F20"/>
          <w:lang w:val="en-US"/>
        </w:rPr>
        <w:t>. O</w:t>
      </w:r>
      <w:r w:rsidRPr="00C83A12">
        <w:rPr>
          <w:rFonts w:eastAsia="Times New Roman" w:cs="Arial"/>
          <w:color w:val="231F20"/>
          <w:lang w:val="en-US"/>
        </w:rPr>
        <w:t>ver the last two years</w:t>
      </w:r>
      <w:r w:rsidR="000D766F">
        <w:rPr>
          <w:rFonts w:eastAsia="Times New Roman" w:cs="Arial"/>
          <w:color w:val="231F20"/>
          <w:lang w:val="en-US"/>
        </w:rPr>
        <w:t>, this sector</w:t>
      </w:r>
      <w:r w:rsidRPr="00C83A12">
        <w:rPr>
          <w:rFonts w:eastAsia="Times New Roman" w:cs="Arial"/>
          <w:color w:val="231F20"/>
          <w:lang w:val="en-US"/>
        </w:rPr>
        <w:t xml:space="preserve"> been through a period of </w:t>
      </w:r>
      <w:r w:rsidR="001D01F8">
        <w:rPr>
          <w:rFonts w:eastAsia="Times New Roman" w:cs="Arial"/>
          <w:color w:val="231F20"/>
          <w:lang w:val="en-US"/>
        </w:rPr>
        <w:t xml:space="preserve">significant </w:t>
      </w:r>
      <w:r w:rsidRPr="00C83A12">
        <w:rPr>
          <w:rFonts w:eastAsia="Times New Roman" w:cs="Arial"/>
          <w:color w:val="231F20"/>
          <w:lang w:val="en-US"/>
        </w:rPr>
        <w:t>uncertainty</w:t>
      </w:r>
      <w:r w:rsidR="001D01F8">
        <w:rPr>
          <w:rFonts w:eastAsia="Times New Roman" w:cs="Arial"/>
          <w:color w:val="231F20"/>
          <w:lang w:val="en-US"/>
        </w:rPr>
        <w:t xml:space="preserve"> as a result of funding cuts to the Australia Council and changes to funding mechanisms. These changes have had a detrimental impact on a number of small to medium performing arts groups who are the engine room of our industry.</w:t>
      </w:r>
    </w:p>
    <w:p w14:paraId="255C7E72" w14:textId="77777777" w:rsidR="001D01F8" w:rsidRDefault="001D01F8" w:rsidP="004131E1">
      <w:pPr>
        <w:autoSpaceDE w:val="0"/>
        <w:autoSpaceDN w:val="0"/>
        <w:adjustRightInd w:val="0"/>
        <w:spacing w:line="300" w:lineRule="exact"/>
        <w:rPr>
          <w:rFonts w:eastAsia="Times New Roman" w:cs="Arial"/>
          <w:color w:val="231F20"/>
          <w:lang w:val="en-US"/>
        </w:rPr>
      </w:pPr>
    </w:p>
    <w:p w14:paraId="66A16CCF" w14:textId="5D21FB5C" w:rsidR="00DD5AD1" w:rsidRPr="00C83A12" w:rsidRDefault="00DD5AD1" w:rsidP="004131E1">
      <w:pPr>
        <w:pStyle w:val="ListParagraph"/>
        <w:numPr>
          <w:ilvl w:val="0"/>
          <w:numId w:val="32"/>
        </w:numPr>
        <w:autoSpaceDE w:val="0"/>
        <w:autoSpaceDN w:val="0"/>
        <w:adjustRightInd w:val="0"/>
        <w:spacing w:line="300" w:lineRule="exact"/>
        <w:ind w:left="426" w:hanging="426"/>
        <w:rPr>
          <w:rFonts w:eastAsia="Times New Roman" w:cs="Arial"/>
          <w:b/>
          <w:color w:val="CB1543"/>
          <w:lang w:val="en-US"/>
        </w:rPr>
      </w:pPr>
      <w:r w:rsidRPr="00C83A12">
        <w:rPr>
          <w:rFonts w:eastAsia="Times New Roman" w:cs="Arial"/>
          <w:b/>
          <w:color w:val="CB1543"/>
          <w:lang w:val="en-US"/>
        </w:rPr>
        <w:t>TAX</w:t>
      </w:r>
      <w:r w:rsidR="007B0533" w:rsidRPr="00C83A12">
        <w:rPr>
          <w:rFonts w:eastAsia="Times New Roman" w:cs="Arial"/>
          <w:b/>
          <w:color w:val="CB1543"/>
          <w:lang w:val="en-US"/>
        </w:rPr>
        <w:t xml:space="preserve"> INCENTIVES </w:t>
      </w:r>
    </w:p>
    <w:p w14:paraId="7BB4E271" w14:textId="77777777" w:rsidR="00DD5AD1" w:rsidRPr="00C83A12" w:rsidRDefault="00DD5AD1" w:rsidP="004131E1">
      <w:pPr>
        <w:pStyle w:val="ListParagraph"/>
        <w:autoSpaceDE w:val="0"/>
        <w:autoSpaceDN w:val="0"/>
        <w:adjustRightInd w:val="0"/>
        <w:spacing w:line="300" w:lineRule="exact"/>
        <w:ind w:left="0"/>
        <w:rPr>
          <w:rFonts w:eastAsia="Times New Roman" w:cs="Arial"/>
          <w:b/>
          <w:color w:val="CB1543"/>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6"/>
      </w:tblGrid>
      <w:tr w:rsidR="00DD5AD1" w:rsidRPr="00C83A12" w14:paraId="1F24BE9D" w14:textId="77777777" w:rsidTr="004131E1">
        <w:tc>
          <w:tcPr>
            <w:tcW w:w="8486" w:type="dxa"/>
            <w:shd w:val="clear" w:color="auto" w:fill="D9D9D9" w:themeFill="background1" w:themeFillShade="D9"/>
          </w:tcPr>
          <w:p w14:paraId="59D82D9F" w14:textId="77777777" w:rsidR="00DD5AD1" w:rsidRPr="00C83A12" w:rsidRDefault="00DD5AD1" w:rsidP="004131E1">
            <w:pPr>
              <w:autoSpaceDE w:val="0"/>
              <w:autoSpaceDN w:val="0"/>
              <w:adjustRightInd w:val="0"/>
              <w:spacing w:before="120" w:line="300" w:lineRule="exact"/>
              <w:rPr>
                <w:rFonts w:eastAsia="Times New Roman" w:cs="Arial"/>
                <w:b/>
                <w:color w:val="231F20"/>
                <w:lang w:val="en-US"/>
              </w:rPr>
            </w:pPr>
            <w:r w:rsidRPr="00C83A12">
              <w:rPr>
                <w:rFonts w:eastAsia="Times New Roman" w:cs="Arial"/>
                <w:b/>
                <w:color w:val="231F20"/>
                <w:lang w:val="en-US"/>
              </w:rPr>
              <w:t xml:space="preserve">Budget request 1: </w:t>
            </w:r>
          </w:p>
          <w:p w14:paraId="555B003B" w14:textId="21F6C119" w:rsidR="00DD5AD1" w:rsidRPr="00C83A12" w:rsidRDefault="00DD5AD1" w:rsidP="004131E1">
            <w:pPr>
              <w:autoSpaceDE w:val="0"/>
              <w:autoSpaceDN w:val="0"/>
              <w:adjustRightInd w:val="0"/>
              <w:spacing w:after="120" w:line="300" w:lineRule="exact"/>
              <w:rPr>
                <w:rFonts w:eastAsia="Times New Roman" w:cs="Arial"/>
                <w:b/>
                <w:color w:val="231F20"/>
                <w:lang w:val="en-US"/>
              </w:rPr>
            </w:pPr>
            <w:r w:rsidRPr="00C83A12">
              <w:rPr>
                <w:rFonts w:eastAsia="Times New Roman" w:cs="Arial"/>
                <w:color w:val="231F20"/>
                <w:lang w:val="en-US"/>
              </w:rPr>
              <w:t>Provide t</w:t>
            </w:r>
            <w:r w:rsidR="004B259D">
              <w:rPr>
                <w:rFonts w:eastAsia="Times New Roman" w:cs="Arial"/>
                <w:color w:val="231F20"/>
                <w:lang w:val="en-US"/>
              </w:rPr>
              <w:t>ax incentives on pre-production</w:t>
            </w:r>
            <w:r w:rsidRPr="00C83A12">
              <w:rPr>
                <w:rFonts w:eastAsia="Times New Roman" w:cs="Arial"/>
                <w:color w:val="231F20"/>
                <w:lang w:val="en-US"/>
              </w:rPr>
              <w:t xml:space="preserve"> costs for live productions</w:t>
            </w:r>
          </w:p>
        </w:tc>
      </w:tr>
    </w:tbl>
    <w:p w14:paraId="744971A2" w14:textId="77777777" w:rsidR="00DD5AD1" w:rsidRPr="00C83A12" w:rsidRDefault="00DD5AD1" w:rsidP="004131E1">
      <w:pPr>
        <w:autoSpaceDE w:val="0"/>
        <w:autoSpaceDN w:val="0"/>
        <w:adjustRightInd w:val="0"/>
        <w:spacing w:line="300" w:lineRule="exact"/>
        <w:rPr>
          <w:rFonts w:eastAsia="Times New Roman" w:cs="Arial"/>
          <w:color w:val="231F20"/>
          <w:lang w:val="en-US"/>
        </w:rPr>
      </w:pPr>
    </w:p>
    <w:p w14:paraId="6DDE467E" w14:textId="0D5122CA" w:rsidR="001636BD" w:rsidRPr="00C83A12" w:rsidRDefault="001D01F8"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I</w:t>
      </w:r>
      <w:r w:rsidR="001636BD" w:rsidRPr="00C83A12">
        <w:rPr>
          <w:rFonts w:eastAsia="Times New Roman" w:cs="Arial"/>
          <w:color w:val="231F20"/>
          <w:lang w:val="en-US"/>
        </w:rPr>
        <w:t>t is becoming increasingly more difficult for Australian producers to stage new productions due to the high costs of pre-production and difficulties in attracting the required level of investment.</w:t>
      </w:r>
    </w:p>
    <w:p w14:paraId="03434172" w14:textId="77777777" w:rsidR="001636BD" w:rsidRPr="00C83A12" w:rsidRDefault="001636BD" w:rsidP="004131E1">
      <w:pPr>
        <w:autoSpaceDE w:val="0"/>
        <w:autoSpaceDN w:val="0"/>
        <w:adjustRightInd w:val="0"/>
        <w:spacing w:line="300" w:lineRule="exact"/>
        <w:rPr>
          <w:rFonts w:eastAsia="Times New Roman" w:cs="Arial"/>
          <w:color w:val="231F20"/>
          <w:lang w:val="en-US"/>
        </w:rPr>
      </w:pPr>
    </w:p>
    <w:p w14:paraId="098EE231" w14:textId="7EE71E65" w:rsidR="001D01F8" w:rsidRDefault="001636BD"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Australian producers compet</w:t>
      </w:r>
      <w:r w:rsidR="00B42B2A" w:rsidRPr="00C83A12">
        <w:rPr>
          <w:rFonts w:eastAsia="Times New Roman" w:cs="Arial"/>
          <w:color w:val="231F20"/>
          <w:lang w:val="en-US"/>
        </w:rPr>
        <w:t>e</w:t>
      </w:r>
      <w:r w:rsidRPr="00C83A12">
        <w:rPr>
          <w:rFonts w:eastAsia="Times New Roman" w:cs="Arial"/>
          <w:color w:val="231F20"/>
          <w:lang w:val="en-US"/>
        </w:rPr>
        <w:t xml:space="preserve"> for investors </w:t>
      </w:r>
      <w:r w:rsidR="001D01F8">
        <w:rPr>
          <w:rFonts w:eastAsia="Times New Roman" w:cs="Arial"/>
          <w:color w:val="231F20"/>
          <w:lang w:val="en-US"/>
        </w:rPr>
        <w:t>with</w:t>
      </w:r>
      <w:r w:rsidR="001D01F8" w:rsidRPr="00C83A12">
        <w:rPr>
          <w:rFonts w:eastAsia="Times New Roman" w:cs="Arial"/>
          <w:color w:val="231F20"/>
          <w:lang w:val="en-US"/>
        </w:rPr>
        <w:t xml:space="preserve"> </w:t>
      </w:r>
      <w:r w:rsidRPr="00C83A12">
        <w:rPr>
          <w:rFonts w:eastAsia="Times New Roman" w:cs="Arial"/>
          <w:color w:val="231F20"/>
          <w:lang w:val="en-US"/>
        </w:rPr>
        <w:t xml:space="preserve">international jurisdictions that offer significant tax incentives (e.g. UK and USA). Within Australia, live performance producers compete against other </w:t>
      </w:r>
      <w:r w:rsidRPr="00C83A12">
        <w:rPr>
          <w:rFonts w:eastAsia="Times New Roman" w:cs="Arial"/>
          <w:color w:val="231F20"/>
          <w:lang w:val="en-US"/>
        </w:rPr>
        <w:lastRenderedPageBreak/>
        <w:t>industries, notably film and TV, where a 40</w:t>
      </w:r>
      <w:r w:rsidR="007F1BC7">
        <w:rPr>
          <w:rFonts w:eastAsia="Times New Roman" w:cs="Arial"/>
          <w:color w:val="231F20"/>
          <w:lang w:val="en-US"/>
        </w:rPr>
        <w:t xml:space="preserve">% </w:t>
      </w:r>
      <w:r w:rsidRPr="00C83A12">
        <w:rPr>
          <w:rFonts w:eastAsia="Times New Roman" w:cs="Arial"/>
          <w:color w:val="231F20"/>
          <w:lang w:val="en-US"/>
        </w:rPr>
        <w:t xml:space="preserve">producer tax offset exists. These tax incentives allow producers to offset pre-production costs on qualifying expenditure. </w:t>
      </w:r>
    </w:p>
    <w:p w14:paraId="463254A8" w14:textId="6DB80718" w:rsidR="001636BD" w:rsidRPr="00C83A12" w:rsidRDefault="001D01F8"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Our live performance industry should have a similar regime of tax incentives</w:t>
      </w:r>
      <w:r w:rsidR="001636BD" w:rsidRPr="00C83A12">
        <w:rPr>
          <w:rFonts w:eastAsia="Times New Roman" w:cs="Arial"/>
          <w:color w:val="231F20"/>
          <w:lang w:val="en-US"/>
        </w:rPr>
        <w:t xml:space="preserve"> to attract the level of investment required to produce and stage world-class shows, support more</w:t>
      </w:r>
      <w:r>
        <w:rPr>
          <w:rFonts w:eastAsia="Times New Roman" w:cs="Arial"/>
          <w:color w:val="231F20"/>
          <w:lang w:val="en-US"/>
        </w:rPr>
        <w:t xml:space="preserve"> Australian</w:t>
      </w:r>
      <w:r w:rsidR="001636BD" w:rsidRPr="00C83A12">
        <w:rPr>
          <w:rFonts w:eastAsia="Times New Roman" w:cs="Arial"/>
          <w:color w:val="231F20"/>
          <w:lang w:val="en-US"/>
        </w:rPr>
        <w:t xml:space="preserve"> jobs and drive industry growth.</w:t>
      </w:r>
    </w:p>
    <w:p w14:paraId="13E68B40" w14:textId="77777777" w:rsidR="00702AE9" w:rsidRPr="00C83A12" w:rsidRDefault="00702AE9" w:rsidP="004131E1">
      <w:pPr>
        <w:autoSpaceDE w:val="0"/>
        <w:autoSpaceDN w:val="0"/>
        <w:adjustRightInd w:val="0"/>
        <w:spacing w:line="300" w:lineRule="exact"/>
        <w:rPr>
          <w:rFonts w:eastAsia="Times New Roman" w:cs="Arial"/>
          <w:color w:val="231F20"/>
          <w:lang w:val="en-US"/>
        </w:rPr>
      </w:pPr>
    </w:p>
    <w:p w14:paraId="0C22B1BF" w14:textId="1C0C2827" w:rsidR="00F11A1E" w:rsidRDefault="003F1A66" w:rsidP="0038171E">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Economic analysis undertaken by Ernst &amp; Young (EY)</w:t>
      </w:r>
      <w:r w:rsidR="000A4B78">
        <w:rPr>
          <w:rStyle w:val="FootnoteReference"/>
          <w:rFonts w:eastAsia="Times New Roman" w:cs="Arial"/>
          <w:color w:val="231F20"/>
          <w:lang w:val="en-US"/>
        </w:rPr>
        <w:footnoteReference w:id="1"/>
      </w:r>
      <w:r w:rsidRPr="00C83A12">
        <w:rPr>
          <w:rFonts w:eastAsia="Times New Roman" w:cs="Arial"/>
          <w:color w:val="231F20"/>
          <w:lang w:val="en-US"/>
        </w:rPr>
        <w:t xml:space="preserve"> found that </w:t>
      </w:r>
      <w:r w:rsidR="00EA77AC" w:rsidRPr="00C83A12">
        <w:rPr>
          <w:rFonts w:eastAsia="Times New Roman" w:cs="Arial"/>
          <w:color w:val="231F20"/>
          <w:lang w:val="en-US"/>
        </w:rPr>
        <w:t>investment incentives</w:t>
      </w:r>
      <w:r w:rsidR="00642D84" w:rsidRPr="00642D84">
        <w:t xml:space="preserve"> </w:t>
      </w:r>
      <w:r w:rsidR="00642D84" w:rsidRPr="00642D84">
        <w:rPr>
          <w:rFonts w:eastAsia="Times New Roman" w:cs="Arial"/>
          <w:color w:val="231F20"/>
          <w:lang w:val="en-US"/>
        </w:rPr>
        <w:t xml:space="preserve">would </w:t>
      </w:r>
      <w:r w:rsidR="007F1BC7">
        <w:rPr>
          <w:rFonts w:eastAsia="Times New Roman" w:cs="Arial"/>
          <w:color w:val="231F20"/>
          <w:lang w:val="en-US"/>
        </w:rPr>
        <w:t>encourage</w:t>
      </w:r>
      <w:r w:rsidR="00642D84" w:rsidRPr="00642D84">
        <w:rPr>
          <w:rFonts w:eastAsia="Times New Roman" w:cs="Arial"/>
          <w:color w:val="231F20"/>
          <w:lang w:val="en-US"/>
        </w:rPr>
        <w:t xml:space="preserve"> commercial producers and </w:t>
      </w:r>
      <w:proofErr w:type="spellStart"/>
      <w:r w:rsidR="00642D84" w:rsidRPr="00642D84">
        <w:rPr>
          <w:rFonts w:eastAsia="Times New Roman" w:cs="Arial"/>
          <w:color w:val="231F20"/>
          <w:lang w:val="en-US"/>
        </w:rPr>
        <w:t>subsidised</w:t>
      </w:r>
      <w:proofErr w:type="spellEnd"/>
      <w:r w:rsidR="00642D84" w:rsidRPr="00642D84">
        <w:rPr>
          <w:rFonts w:eastAsia="Times New Roman" w:cs="Arial"/>
          <w:color w:val="231F20"/>
          <w:lang w:val="en-US"/>
        </w:rPr>
        <w:t xml:space="preserve"> </w:t>
      </w:r>
      <w:proofErr w:type="spellStart"/>
      <w:r w:rsidR="00642D84" w:rsidRPr="00642D84">
        <w:rPr>
          <w:rFonts w:eastAsia="Times New Roman" w:cs="Arial"/>
          <w:color w:val="231F20"/>
          <w:lang w:val="en-US"/>
        </w:rPr>
        <w:t>organisations</w:t>
      </w:r>
      <w:proofErr w:type="spellEnd"/>
      <w:r w:rsidR="00642D84" w:rsidRPr="00642D84">
        <w:rPr>
          <w:rFonts w:eastAsia="Times New Roman" w:cs="Arial"/>
          <w:color w:val="231F20"/>
          <w:lang w:val="en-US"/>
        </w:rPr>
        <w:t xml:space="preserve"> to produce more work, and therefore increase economic activity</w:t>
      </w:r>
      <w:r w:rsidR="00EA77AC" w:rsidRPr="00C83A12">
        <w:rPr>
          <w:rFonts w:eastAsia="Times New Roman" w:cs="Arial"/>
          <w:color w:val="231F20"/>
          <w:lang w:val="en-US"/>
        </w:rPr>
        <w:t>. The level of economic activity generated increases as the level of investment incentives increases</w:t>
      </w:r>
      <w:r w:rsidR="00B42B2A" w:rsidRPr="00C83A12">
        <w:rPr>
          <w:rFonts w:eastAsia="Times New Roman" w:cs="Arial"/>
          <w:color w:val="231F20"/>
          <w:lang w:val="en-US"/>
        </w:rPr>
        <w:t xml:space="preserve"> (see </w:t>
      </w:r>
      <w:r w:rsidR="00B42B2A" w:rsidRPr="00C83A12">
        <w:rPr>
          <w:rFonts w:eastAsia="Times New Roman" w:cs="Arial"/>
          <w:color w:val="231F20"/>
          <w:lang w:val="en-US"/>
        </w:rPr>
        <w:fldChar w:fldCharType="begin"/>
      </w:r>
      <w:r w:rsidR="00B42B2A" w:rsidRPr="00C83A12">
        <w:rPr>
          <w:rFonts w:eastAsia="Times New Roman" w:cs="Arial"/>
          <w:color w:val="231F20"/>
          <w:lang w:val="en-US"/>
        </w:rPr>
        <w:instrText xml:space="preserve"> REF _Ref471378075 \h </w:instrText>
      </w:r>
      <w:r w:rsidR="00FA2BBD" w:rsidRPr="00C83A12">
        <w:rPr>
          <w:rFonts w:eastAsia="Times New Roman" w:cs="Arial"/>
          <w:color w:val="231F20"/>
          <w:lang w:val="en-US"/>
        </w:rPr>
        <w:instrText xml:space="preserve"> \* MERGEFORMAT </w:instrText>
      </w:r>
      <w:r w:rsidR="00B42B2A" w:rsidRPr="00C83A12">
        <w:rPr>
          <w:rFonts w:eastAsia="Times New Roman" w:cs="Arial"/>
          <w:color w:val="231F20"/>
          <w:lang w:val="en-US"/>
        </w:rPr>
      </w:r>
      <w:r w:rsidR="00B42B2A" w:rsidRPr="00C83A12">
        <w:rPr>
          <w:rFonts w:eastAsia="Times New Roman" w:cs="Arial"/>
          <w:color w:val="231F20"/>
          <w:lang w:val="en-US"/>
        </w:rPr>
        <w:fldChar w:fldCharType="separate"/>
      </w:r>
      <w:r w:rsidR="00C83A12" w:rsidRPr="00C83A12">
        <w:rPr>
          <w:rFonts w:cs="Arial"/>
        </w:rPr>
        <w:t xml:space="preserve">Table </w:t>
      </w:r>
      <w:r w:rsidR="00C83A12">
        <w:rPr>
          <w:rFonts w:cs="Arial"/>
          <w:noProof/>
        </w:rPr>
        <w:t>1</w:t>
      </w:r>
      <w:r w:rsidR="00B42B2A" w:rsidRPr="00C83A12">
        <w:rPr>
          <w:rFonts w:eastAsia="Times New Roman" w:cs="Arial"/>
          <w:color w:val="231F20"/>
          <w:lang w:val="en-US"/>
        </w:rPr>
        <w:fldChar w:fldCharType="end"/>
      </w:r>
      <w:r w:rsidR="00B42B2A" w:rsidRPr="00C83A12">
        <w:rPr>
          <w:rFonts w:eastAsia="Times New Roman" w:cs="Arial"/>
          <w:color w:val="231F20"/>
          <w:lang w:val="en-US"/>
        </w:rPr>
        <w:t>)</w:t>
      </w:r>
      <w:r w:rsidR="00EA77AC" w:rsidRPr="00C83A12">
        <w:rPr>
          <w:rFonts w:eastAsia="Times New Roman" w:cs="Arial"/>
          <w:color w:val="231F20"/>
          <w:lang w:val="en-US"/>
        </w:rPr>
        <w:t xml:space="preserve">. </w:t>
      </w:r>
      <w:r w:rsidR="0038171E" w:rsidRPr="0038171E">
        <w:rPr>
          <w:rFonts w:eastAsia="Times New Roman" w:cs="Arial"/>
          <w:color w:val="231F20"/>
          <w:lang w:val="en-US"/>
        </w:rPr>
        <w:t xml:space="preserve">The </w:t>
      </w:r>
      <w:r w:rsidR="000C144D">
        <w:rPr>
          <w:rFonts w:eastAsia="Times New Roman" w:cs="Arial"/>
          <w:color w:val="231F20"/>
          <w:lang w:val="en-US"/>
        </w:rPr>
        <w:t xml:space="preserve">EY </w:t>
      </w:r>
      <w:r w:rsidR="0038171E" w:rsidRPr="0038171E">
        <w:rPr>
          <w:rFonts w:eastAsia="Times New Roman" w:cs="Arial"/>
          <w:color w:val="231F20"/>
          <w:lang w:val="en-US"/>
        </w:rPr>
        <w:t xml:space="preserve">modelling </w:t>
      </w:r>
      <w:r w:rsidR="0038171E">
        <w:rPr>
          <w:rFonts w:eastAsia="Times New Roman" w:cs="Arial"/>
          <w:color w:val="231F20"/>
          <w:lang w:val="en-US"/>
        </w:rPr>
        <w:t>estimates</w:t>
      </w:r>
      <w:r w:rsidR="0038171E" w:rsidRPr="0038171E">
        <w:rPr>
          <w:rFonts w:eastAsia="Times New Roman" w:cs="Arial"/>
          <w:color w:val="231F20"/>
          <w:lang w:val="en-US"/>
        </w:rPr>
        <w:t xml:space="preserve"> that</w:t>
      </w:r>
      <w:r w:rsidR="00F11A1E">
        <w:rPr>
          <w:rFonts w:eastAsia="Times New Roman" w:cs="Arial"/>
          <w:color w:val="231F20"/>
          <w:lang w:val="en-US"/>
        </w:rPr>
        <w:t>:</w:t>
      </w:r>
    </w:p>
    <w:p w14:paraId="14602A0B" w14:textId="2CE72902" w:rsidR="0038171E" w:rsidRPr="000C144D" w:rsidRDefault="007F1BC7" w:rsidP="00794142">
      <w:pPr>
        <w:pStyle w:val="ListParagraph"/>
        <w:numPr>
          <w:ilvl w:val="0"/>
          <w:numId w:val="35"/>
        </w:numPr>
        <w:autoSpaceDE w:val="0"/>
        <w:autoSpaceDN w:val="0"/>
        <w:adjustRightInd w:val="0"/>
        <w:spacing w:line="300" w:lineRule="exact"/>
        <w:rPr>
          <w:rFonts w:eastAsia="Times New Roman" w:cs="Arial"/>
          <w:color w:val="231F20"/>
          <w:lang w:val="en-US"/>
        </w:rPr>
      </w:pPr>
      <w:r>
        <w:rPr>
          <w:rFonts w:eastAsia="Times New Roman" w:cs="Arial"/>
          <w:color w:val="231F20"/>
          <w:lang w:val="en-US"/>
        </w:rPr>
        <w:t>a 10%</w:t>
      </w:r>
      <w:r w:rsidR="0038171E" w:rsidRPr="000C144D">
        <w:rPr>
          <w:rFonts w:eastAsia="Times New Roman" w:cs="Arial"/>
          <w:color w:val="231F20"/>
          <w:lang w:val="en-US"/>
        </w:rPr>
        <w:t xml:space="preserve"> tax incentive would support 22 new productions</w:t>
      </w:r>
      <w:r w:rsidR="00E47B8C" w:rsidRPr="000C144D">
        <w:rPr>
          <w:rFonts w:eastAsia="Times New Roman" w:cs="Arial"/>
          <w:color w:val="231F20"/>
          <w:lang w:val="en-US"/>
        </w:rPr>
        <w:t>,</w:t>
      </w:r>
      <w:r w:rsidR="0038171E" w:rsidRPr="000C144D">
        <w:rPr>
          <w:rFonts w:eastAsia="Times New Roman" w:cs="Arial"/>
          <w:color w:val="231F20"/>
          <w:lang w:val="en-US"/>
        </w:rPr>
        <w:t xml:space="preserve"> </w:t>
      </w:r>
      <w:r w:rsidR="009A6CA6" w:rsidRPr="000C144D">
        <w:rPr>
          <w:rFonts w:eastAsia="Times New Roman" w:cs="Arial"/>
          <w:color w:val="231F20"/>
          <w:lang w:val="en-US"/>
        </w:rPr>
        <w:t xml:space="preserve">generating </w:t>
      </w:r>
      <w:r w:rsidR="000C144D" w:rsidRPr="000C144D">
        <w:rPr>
          <w:rFonts w:eastAsia="Times New Roman" w:cs="Arial"/>
          <w:color w:val="231F20"/>
          <w:lang w:val="en-US"/>
        </w:rPr>
        <w:t xml:space="preserve">an additional </w:t>
      </w:r>
      <w:r w:rsidR="009A6CA6" w:rsidRPr="000C144D">
        <w:rPr>
          <w:rFonts w:eastAsia="Times New Roman" w:cs="Arial"/>
          <w:color w:val="231F20"/>
          <w:lang w:val="en-US"/>
        </w:rPr>
        <w:t>$229.5</w:t>
      </w:r>
      <w:r w:rsidR="000D766F">
        <w:rPr>
          <w:rFonts w:eastAsia="Times New Roman" w:cs="Arial"/>
          <w:color w:val="231F20"/>
          <w:lang w:val="en-US"/>
        </w:rPr>
        <w:t> </w:t>
      </w:r>
      <w:r w:rsidR="009A6CA6" w:rsidRPr="000C144D">
        <w:rPr>
          <w:rFonts w:eastAsia="Times New Roman" w:cs="Arial"/>
          <w:color w:val="231F20"/>
          <w:lang w:val="en-US"/>
        </w:rPr>
        <w:t xml:space="preserve">million in industry </w:t>
      </w:r>
      <w:r w:rsidR="00E47B8C" w:rsidRPr="000C144D">
        <w:rPr>
          <w:rFonts w:eastAsia="Times New Roman" w:cs="Arial"/>
          <w:color w:val="231F20"/>
          <w:lang w:val="en-US"/>
        </w:rPr>
        <w:t xml:space="preserve">turnover, </w:t>
      </w:r>
      <w:r w:rsidR="000C144D" w:rsidRPr="000C144D">
        <w:rPr>
          <w:rFonts w:eastAsia="Times New Roman" w:cs="Arial"/>
          <w:color w:val="231F20"/>
          <w:lang w:val="en-US"/>
        </w:rPr>
        <w:t xml:space="preserve">an additional </w:t>
      </w:r>
      <w:r w:rsidR="00E47B8C" w:rsidRPr="000C144D">
        <w:rPr>
          <w:rFonts w:eastAsia="Times New Roman" w:cs="Arial"/>
          <w:color w:val="231F20"/>
          <w:lang w:val="en-US"/>
        </w:rPr>
        <w:t xml:space="preserve">$100.1 million in industry value add and 863 additional jobs </w:t>
      </w:r>
    </w:p>
    <w:p w14:paraId="096C6235" w14:textId="13534F34" w:rsidR="00E47B8C" w:rsidRPr="000C144D" w:rsidRDefault="00E47B8C" w:rsidP="0038171E">
      <w:pPr>
        <w:pStyle w:val="ListParagraph"/>
        <w:numPr>
          <w:ilvl w:val="0"/>
          <w:numId w:val="35"/>
        </w:numPr>
        <w:autoSpaceDE w:val="0"/>
        <w:autoSpaceDN w:val="0"/>
        <w:adjustRightInd w:val="0"/>
        <w:spacing w:line="300" w:lineRule="exact"/>
        <w:rPr>
          <w:rFonts w:eastAsia="Times New Roman" w:cs="Arial"/>
          <w:color w:val="231F20"/>
          <w:lang w:val="en-US"/>
        </w:rPr>
      </w:pPr>
      <w:r w:rsidRPr="000C144D">
        <w:rPr>
          <w:rFonts w:eastAsia="Times New Roman" w:cs="Arial"/>
          <w:color w:val="231F20"/>
          <w:lang w:val="en-US"/>
        </w:rPr>
        <w:t>a</w:t>
      </w:r>
      <w:r w:rsidR="007F1BC7">
        <w:rPr>
          <w:rFonts w:eastAsia="Times New Roman" w:cs="Arial"/>
          <w:color w:val="231F20"/>
          <w:lang w:val="en-US"/>
        </w:rPr>
        <w:t xml:space="preserve"> 25%</w:t>
      </w:r>
      <w:r w:rsidR="0038171E" w:rsidRPr="000C144D">
        <w:rPr>
          <w:rFonts w:eastAsia="Times New Roman" w:cs="Arial"/>
          <w:color w:val="231F20"/>
          <w:lang w:val="en-US"/>
        </w:rPr>
        <w:t xml:space="preserve"> tax incentive would support 347 new productions</w:t>
      </w:r>
      <w:r w:rsidRPr="000C144D">
        <w:rPr>
          <w:rFonts w:eastAsia="Times New Roman" w:cs="Arial"/>
          <w:color w:val="231F20"/>
          <w:lang w:val="en-US"/>
        </w:rPr>
        <w:t>,</w:t>
      </w:r>
      <w:r w:rsidR="0038171E" w:rsidRPr="000C144D">
        <w:rPr>
          <w:rFonts w:eastAsia="Times New Roman" w:cs="Arial"/>
          <w:color w:val="231F20"/>
          <w:lang w:val="en-US"/>
        </w:rPr>
        <w:t xml:space="preserve"> </w:t>
      </w:r>
      <w:r w:rsidRPr="000C144D">
        <w:rPr>
          <w:rFonts w:eastAsia="Times New Roman" w:cs="Arial"/>
          <w:color w:val="231F20"/>
          <w:lang w:val="en-US"/>
        </w:rPr>
        <w:t xml:space="preserve">generating </w:t>
      </w:r>
      <w:r w:rsidR="000C144D" w:rsidRPr="000C144D">
        <w:rPr>
          <w:rFonts w:eastAsia="Times New Roman" w:cs="Arial"/>
          <w:color w:val="231F20"/>
          <w:lang w:val="en-US"/>
        </w:rPr>
        <w:t xml:space="preserve">an additional </w:t>
      </w:r>
      <w:r w:rsidRPr="000C144D">
        <w:rPr>
          <w:rFonts w:eastAsia="Times New Roman" w:cs="Arial"/>
          <w:color w:val="231F20"/>
          <w:lang w:val="en-US"/>
        </w:rPr>
        <w:t xml:space="preserve">$760.6 million in industry turnover, </w:t>
      </w:r>
      <w:r w:rsidR="000C144D" w:rsidRPr="000C144D">
        <w:rPr>
          <w:rFonts w:eastAsia="Times New Roman" w:cs="Arial"/>
          <w:color w:val="231F20"/>
          <w:lang w:val="en-US"/>
        </w:rPr>
        <w:t xml:space="preserve">an additional </w:t>
      </w:r>
      <w:r w:rsidRPr="000C144D">
        <w:rPr>
          <w:rFonts w:eastAsia="Times New Roman" w:cs="Arial"/>
          <w:color w:val="231F20"/>
          <w:lang w:val="en-US"/>
        </w:rPr>
        <w:t>$337.2 million in industry value add and 2,906 additional jobs</w:t>
      </w:r>
    </w:p>
    <w:p w14:paraId="60576669" w14:textId="51739C93" w:rsidR="0038171E" w:rsidRPr="000C144D" w:rsidRDefault="00E47B8C" w:rsidP="00E47B8C">
      <w:pPr>
        <w:pStyle w:val="ListParagraph"/>
        <w:numPr>
          <w:ilvl w:val="0"/>
          <w:numId w:val="35"/>
        </w:numPr>
        <w:autoSpaceDE w:val="0"/>
        <w:autoSpaceDN w:val="0"/>
        <w:adjustRightInd w:val="0"/>
        <w:spacing w:line="300" w:lineRule="exact"/>
        <w:rPr>
          <w:rFonts w:eastAsia="Times New Roman" w:cs="Arial"/>
          <w:color w:val="231F20"/>
          <w:lang w:val="en-US"/>
        </w:rPr>
      </w:pPr>
      <w:proofErr w:type="gramStart"/>
      <w:r w:rsidRPr="000C144D">
        <w:rPr>
          <w:rFonts w:eastAsia="Times New Roman" w:cs="Arial"/>
          <w:color w:val="231F20"/>
          <w:lang w:val="en-US"/>
        </w:rPr>
        <w:t>a</w:t>
      </w:r>
      <w:proofErr w:type="gramEnd"/>
      <w:r w:rsidR="007F1BC7">
        <w:rPr>
          <w:rFonts w:eastAsia="Times New Roman" w:cs="Arial"/>
          <w:color w:val="231F20"/>
          <w:lang w:val="en-US"/>
        </w:rPr>
        <w:t xml:space="preserve"> 40%</w:t>
      </w:r>
      <w:r w:rsidR="0038171E" w:rsidRPr="000C144D">
        <w:rPr>
          <w:rFonts w:eastAsia="Times New Roman" w:cs="Arial"/>
          <w:color w:val="231F20"/>
          <w:lang w:val="en-US"/>
        </w:rPr>
        <w:t xml:space="preserve"> tax incentive would support </w:t>
      </w:r>
      <w:r w:rsidRPr="000C144D">
        <w:rPr>
          <w:rFonts w:eastAsia="Times New Roman" w:cs="Arial"/>
          <w:color w:val="231F20"/>
          <w:lang w:val="en-US"/>
        </w:rPr>
        <w:t xml:space="preserve">555 new productions, generating </w:t>
      </w:r>
      <w:r w:rsidR="000C144D" w:rsidRPr="000C144D">
        <w:rPr>
          <w:rFonts w:eastAsia="Times New Roman" w:cs="Arial"/>
          <w:color w:val="231F20"/>
          <w:lang w:val="en-US"/>
        </w:rPr>
        <w:t xml:space="preserve">an additional </w:t>
      </w:r>
      <w:r w:rsidRPr="000C144D">
        <w:rPr>
          <w:rFonts w:eastAsia="Times New Roman" w:cs="Arial"/>
          <w:color w:val="231F20"/>
          <w:lang w:val="en-US"/>
        </w:rPr>
        <w:t>$1.2</w:t>
      </w:r>
      <w:r w:rsidR="000D766F">
        <w:rPr>
          <w:rFonts w:eastAsia="Times New Roman" w:cs="Arial"/>
          <w:color w:val="231F20"/>
          <w:lang w:val="en-US"/>
        </w:rPr>
        <w:t> </w:t>
      </w:r>
      <w:r w:rsidRPr="000C144D">
        <w:rPr>
          <w:rFonts w:eastAsia="Times New Roman" w:cs="Arial"/>
          <w:color w:val="231F20"/>
          <w:lang w:val="en-US"/>
        </w:rPr>
        <w:t xml:space="preserve">billion in industry turnover, </w:t>
      </w:r>
      <w:r w:rsidR="000C144D" w:rsidRPr="000C144D">
        <w:rPr>
          <w:rFonts w:eastAsia="Times New Roman" w:cs="Arial"/>
          <w:color w:val="231F20"/>
          <w:lang w:val="en-US"/>
        </w:rPr>
        <w:t xml:space="preserve">an additional </w:t>
      </w:r>
      <w:r w:rsidRPr="000C144D">
        <w:rPr>
          <w:rFonts w:eastAsia="Times New Roman" w:cs="Arial"/>
          <w:color w:val="231F20"/>
          <w:lang w:val="en-US"/>
        </w:rPr>
        <w:t xml:space="preserve">$540.1 million in industry value add and 4,650 additional jobs. </w:t>
      </w:r>
    </w:p>
    <w:p w14:paraId="0C00D943" w14:textId="77777777" w:rsidR="00B42B2A" w:rsidRPr="00C83A12" w:rsidRDefault="00B42B2A" w:rsidP="004131E1">
      <w:pPr>
        <w:autoSpaceDE w:val="0"/>
        <w:autoSpaceDN w:val="0"/>
        <w:adjustRightInd w:val="0"/>
        <w:spacing w:line="300" w:lineRule="exact"/>
        <w:rPr>
          <w:rFonts w:eastAsia="Times New Roman" w:cs="Arial"/>
          <w:color w:val="231F20"/>
          <w:lang w:val="en-US"/>
        </w:rPr>
      </w:pPr>
    </w:p>
    <w:p w14:paraId="4C91C2B7" w14:textId="5B69FC4C" w:rsidR="00EA77AC" w:rsidRPr="00C83A12" w:rsidRDefault="00B42B2A" w:rsidP="004131E1">
      <w:pPr>
        <w:pStyle w:val="Caption"/>
        <w:keepNext/>
        <w:rPr>
          <w:rFonts w:cs="Arial"/>
        </w:rPr>
      </w:pPr>
      <w:bookmarkStart w:id="0" w:name="_Ref471378075"/>
      <w:r w:rsidRPr="00C83A12">
        <w:rPr>
          <w:rFonts w:cs="Arial"/>
        </w:rPr>
        <w:t xml:space="preserve">Table </w:t>
      </w:r>
      <w:r w:rsidR="00725FDA" w:rsidRPr="00C83A12">
        <w:rPr>
          <w:rFonts w:cs="Arial"/>
        </w:rPr>
        <w:fldChar w:fldCharType="begin"/>
      </w:r>
      <w:r w:rsidR="00725FDA" w:rsidRPr="00C83A12">
        <w:rPr>
          <w:rFonts w:cs="Arial"/>
        </w:rPr>
        <w:instrText xml:space="preserve"> SEQ Table \* ARABIC </w:instrText>
      </w:r>
      <w:r w:rsidR="00725FDA" w:rsidRPr="00C83A12">
        <w:rPr>
          <w:rFonts w:cs="Arial"/>
        </w:rPr>
        <w:fldChar w:fldCharType="separate"/>
      </w:r>
      <w:r w:rsidR="00C83A12">
        <w:rPr>
          <w:rFonts w:cs="Arial"/>
          <w:noProof/>
        </w:rPr>
        <w:t>1</w:t>
      </w:r>
      <w:r w:rsidR="00725FDA" w:rsidRPr="00C83A12">
        <w:rPr>
          <w:rFonts w:cs="Arial"/>
          <w:noProof/>
        </w:rPr>
        <w:fldChar w:fldCharType="end"/>
      </w:r>
      <w:bookmarkEnd w:id="0"/>
      <w:r w:rsidRPr="00C83A12">
        <w:rPr>
          <w:rFonts w:cs="Arial"/>
        </w:rPr>
        <w:t xml:space="preserve">: Change in economic activity (incremental to base case) resulting from tax incentives  </w:t>
      </w:r>
    </w:p>
    <w:tbl>
      <w:tblPr>
        <w:tblW w:w="8931" w:type="dxa"/>
        <w:tblInd w:w="-142" w:type="dxa"/>
        <w:tblCellMar>
          <w:left w:w="0" w:type="dxa"/>
          <w:right w:w="0" w:type="dxa"/>
        </w:tblCellMar>
        <w:tblLook w:val="0420" w:firstRow="1" w:lastRow="0" w:firstColumn="0" w:lastColumn="0" w:noHBand="0" w:noVBand="1"/>
      </w:tblPr>
      <w:tblGrid>
        <w:gridCol w:w="3544"/>
        <w:gridCol w:w="1701"/>
        <w:gridCol w:w="1843"/>
        <w:gridCol w:w="1843"/>
      </w:tblGrid>
      <w:tr w:rsidR="00EA77AC" w:rsidRPr="00C83A12" w14:paraId="586532CE" w14:textId="77777777" w:rsidTr="004131E1">
        <w:trPr>
          <w:trHeight w:val="39"/>
        </w:trPr>
        <w:tc>
          <w:tcPr>
            <w:tcW w:w="3544"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0EE7B768"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b/>
                <w:bCs/>
                <w:color w:val="231F20"/>
                <w:sz w:val="18"/>
                <w:szCs w:val="18"/>
              </w:rPr>
              <w:t>Incremental to base case</w:t>
            </w:r>
          </w:p>
        </w:tc>
        <w:tc>
          <w:tcPr>
            <w:tcW w:w="1701"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6A73CAD9"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b/>
                <w:bCs/>
                <w:color w:val="231F20"/>
                <w:sz w:val="18"/>
                <w:szCs w:val="18"/>
              </w:rPr>
              <w:t>10% tax incentive</w:t>
            </w:r>
          </w:p>
        </w:tc>
        <w:tc>
          <w:tcPr>
            <w:tcW w:w="1843"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7739DE44" w14:textId="77777777" w:rsidR="00EA77AC" w:rsidRPr="00C83A12" w:rsidRDefault="00EA77AC" w:rsidP="004131E1">
            <w:pPr>
              <w:tabs>
                <w:tab w:val="left" w:pos="92"/>
              </w:tabs>
              <w:autoSpaceDE w:val="0"/>
              <w:autoSpaceDN w:val="0"/>
              <w:adjustRightInd w:val="0"/>
              <w:jc w:val="right"/>
              <w:rPr>
                <w:rFonts w:eastAsia="Times New Roman" w:cs="Arial"/>
                <w:color w:val="231F20"/>
                <w:sz w:val="18"/>
                <w:szCs w:val="18"/>
              </w:rPr>
            </w:pPr>
            <w:r w:rsidRPr="00C83A12">
              <w:rPr>
                <w:rFonts w:eastAsia="Times New Roman" w:cs="Arial"/>
                <w:b/>
                <w:bCs/>
                <w:color w:val="231F20"/>
                <w:sz w:val="18"/>
                <w:szCs w:val="18"/>
              </w:rPr>
              <w:t>25% tax incentive</w:t>
            </w:r>
          </w:p>
        </w:tc>
        <w:tc>
          <w:tcPr>
            <w:tcW w:w="1843"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0210C514"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b/>
                <w:bCs/>
                <w:color w:val="231F20"/>
                <w:sz w:val="18"/>
                <w:szCs w:val="18"/>
              </w:rPr>
              <w:t xml:space="preserve">40% tax incentive </w:t>
            </w:r>
          </w:p>
        </w:tc>
      </w:tr>
      <w:tr w:rsidR="00EA77AC" w:rsidRPr="00C83A12" w14:paraId="643C514B" w14:textId="77777777" w:rsidTr="004131E1">
        <w:trPr>
          <w:trHeight w:val="19"/>
        </w:trPr>
        <w:tc>
          <w:tcPr>
            <w:tcW w:w="3544"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3D5AFEED"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New productions</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66F29EC4"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22</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04C1A8C9"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347</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1474E9DC"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555</w:t>
            </w:r>
          </w:p>
        </w:tc>
      </w:tr>
      <w:tr w:rsidR="00EA77AC" w:rsidRPr="00C83A12" w14:paraId="52A2D834" w14:textId="77777777" w:rsidTr="004131E1">
        <w:trPr>
          <w:trHeight w:val="67"/>
        </w:trPr>
        <w:tc>
          <w:tcPr>
            <w:tcW w:w="3544"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7907A92C"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Industry output (industry turnover)</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35F1F1A6"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$229.5m</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1DD0401A"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$760.6m</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5937F445"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$1,216.9m</w:t>
            </w:r>
          </w:p>
        </w:tc>
      </w:tr>
      <w:tr w:rsidR="00EA77AC" w:rsidRPr="00C83A12" w14:paraId="01B8EFAC" w14:textId="77777777" w:rsidTr="004131E1">
        <w:trPr>
          <w:trHeight w:val="28"/>
        </w:trPr>
        <w:tc>
          <w:tcPr>
            <w:tcW w:w="3544"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4C4D1443"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Industry value add (wealth generation)</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440F3238"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$100.1m</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16066D0E"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$337.2m</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0F927C58"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$540.1m</w:t>
            </w:r>
          </w:p>
        </w:tc>
      </w:tr>
      <w:tr w:rsidR="00EA77AC" w:rsidRPr="00C83A12" w14:paraId="0E891EB3" w14:textId="77777777" w:rsidTr="004131E1">
        <w:trPr>
          <w:trHeight w:val="19"/>
        </w:trPr>
        <w:tc>
          <w:tcPr>
            <w:tcW w:w="3544"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2ECF59B3"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Employment (FTE)</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63B0F50E"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863</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16B60071"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2,906</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5F3BA72C"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4,650</w:t>
            </w:r>
          </w:p>
        </w:tc>
      </w:tr>
    </w:tbl>
    <w:p w14:paraId="3D6B7917" w14:textId="77777777" w:rsidR="00EA77AC" w:rsidRPr="00C83A12" w:rsidRDefault="00EA77AC" w:rsidP="004131E1">
      <w:pPr>
        <w:autoSpaceDE w:val="0"/>
        <w:autoSpaceDN w:val="0"/>
        <w:adjustRightInd w:val="0"/>
        <w:spacing w:line="300" w:lineRule="exact"/>
        <w:rPr>
          <w:rFonts w:eastAsia="Times New Roman" w:cs="Arial"/>
          <w:color w:val="231F20"/>
          <w:lang w:val="en-US"/>
        </w:rPr>
      </w:pPr>
    </w:p>
    <w:p w14:paraId="5F114CCF" w14:textId="54183306" w:rsidR="003F1A66" w:rsidRPr="00C83A12" w:rsidRDefault="00F324F2"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While there is a cost to government in providing incentives to producers, </w:t>
      </w:r>
      <w:r w:rsidR="001D01F8">
        <w:rPr>
          <w:rFonts w:eastAsia="Times New Roman" w:cs="Arial"/>
          <w:color w:val="231F20"/>
          <w:lang w:val="en-US"/>
        </w:rPr>
        <w:t>these expenses</w:t>
      </w:r>
      <w:r w:rsidR="001D01F8" w:rsidRPr="00C83A12">
        <w:rPr>
          <w:rFonts w:eastAsia="Times New Roman" w:cs="Arial"/>
          <w:color w:val="231F20"/>
          <w:lang w:val="en-US"/>
        </w:rPr>
        <w:t xml:space="preserve"> </w:t>
      </w:r>
      <w:r w:rsidRPr="00C83A12">
        <w:rPr>
          <w:rFonts w:eastAsia="Times New Roman" w:cs="Arial"/>
          <w:color w:val="231F20"/>
          <w:lang w:val="en-US"/>
        </w:rPr>
        <w:t>will</w:t>
      </w:r>
      <w:r w:rsidR="001D01F8">
        <w:rPr>
          <w:rFonts w:eastAsia="Times New Roman" w:cs="Arial"/>
          <w:color w:val="231F20"/>
          <w:lang w:val="en-US"/>
        </w:rPr>
        <w:t xml:space="preserve"> be</w:t>
      </w:r>
      <w:r w:rsidRPr="00C83A12">
        <w:rPr>
          <w:rFonts w:eastAsia="Times New Roman" w:cs="Arial"/>
          <w:color w:val="231F20"/>
          <w:lang w:val="en-US"/>
        </w:rPr>
        <w:t xml:space="preserve"> recoup</w:t>
      </w:r>
      <w:r w:rsidR="001D01F8">
        <w:rPr>
          <w:rFonts w:eastAsia="Times New Roman" w:cs="Arial"/>
          <w:color w:val="231F20"/>
          <w:lang w:val="en-US"/>
        </w:rPr>
        <w:t>ed</w:t>
      </w:r>
      <w:r w:rsidRPr="00C83A12">
        <w:rPr>
          <w:rFonts w:eastAsia="Times New Roman" w:cs="Arial"/>
          <w:color w:val="231F20"/>
          <w:lang w:val="en-US"/>
        </w:rPr>
        <w:t xml:space="preserve"> through taxes earned on increased economic activity. The </w:t>
      </w:r>
      <w:r w:rsidR="001D01F8">
        <w:rPr>
          <w:rFonts w:eastAsia="Times New Roman" w:cs="Arial"/>
          <w:color w:val="231F20"/>
          <w:lang w:val="en-US"/>
        </w:rPr>
        <w:t xml:space="preserve">EY </w:t>
      </w:r>
      <w:r w:rsidRPr="00C83A12">
        <w:rPr>
          <w:rFonts w:eastAsia="Times New Roman" w:cs="Arial"/>
          <w:color w:val="231F20"/>
          <w:lang w:val="en-US"/>
        </w:rPr>
        <w:t>economic analysis found that there is a net positive return on investment to government by providing investment incentives on pre-production costs fo</w:t>
      </w:r>
      <w:r w:rsidR="0083757E" w:rsidRPr="00C83A12">
        <w:rPr>
          <w:rFonts w:eastAsia="Times New Roman" w:cs="Arial"/>
          <w:color w:val="231F20"/>
          <w:lang w:val="en-US"/>
        </w:rPr>
        <w:t>r</w:t>
      </w:r>
      <w:r w:rsidRPr="00C83A12">
        <w:rPr>
          <w:rFonts w:eastAsia="Times New Roman" w:cs="Arial"/>
          <w:color w:val="231F20"/>
          <w:lang w:val="en-US"/>
        </w:rPr>
        <w:t xml:space="preserve"> live productions</w:t>
      </w:r>
      <w:r w:rsidR="000C144D">
        <w:rPr>
          <w:rFonts w:eastAsia="Times New Roman" w:cs="Arial"/>
          <w:color w:val="231F20"/>
          <w:lang w:val="en-US"/>
        </w:rPr>
        <w:t xml:space="preserve"> when tax incentives are set at a level between 25 and 40 per cent </w:t>
      </w:r>
      <w:r w:rsidR="00B42B2A" w:rsidRPr="00C83A12">
        <w:rPr>
          <w:rFonts w:eastAsia="Times New Roman" w:cs="Arial"/>
          <w:color w:val="231F20"/>
          <w:lang w:val="en-US"/>
        </w:rPr>
        <w:t xml:space="preserve">(see </w:t>
      </w:r>
      <w:r w:rsidR="00B42B2A" w:rsidRPr="00C83A12">
        <w:rPr>
          <w:rFonts w:eastAsia="Times New Roman" w:cs="Arial"/>
          <w:color w:val="231F20"/>
          <w:lang w:val="en-US"/>
        </w:rPr>
        <w:fldChar w:fldCharType="begin"/>
      </w:r>
      <w:r w:rsidR="00B42B2A" w:rsidRPr="00C83A12">
        <w:rPr>
          <w:rFonts w:eastAsia="Times New Roman" w:cs="Arial"/>
          <w:color w:val="231F20"/>
          <w:lang w:val="en-US"/>
        </w:rPr>
        <w:instrText xml:space="preserve"> REF _Ref471378411 \h </w:instrText>
      </w:r>
      <w:r w:rsidR="00FA2BBD" w:rsidRPr="00C83A12">
        <w:rPr>
          <w:rFonts w:eastAsia="Times New Roman" w:cs="Arial"/>
          <w:color w:val="231F20"/>
          <w:lang w:val="en-US"/>
        </w:rPr>
        <w:instrText xml:space="preserve"> \* MERGEFORMAT </w:instrText>
      </w:r>
      <w:r w:rsidR="00B42B2A" w:rsidRPr="00C83A12">
        <w:rPr>
          <w:rFonts w:eastAsia="Times New Roman" w:cs="Arial"/>
          <w:color w:val="231F20"/>
          <w:lang w:val="en-US"/>
        </w:rPr>
      </w:r>
      <w:r w:rsidR="00B42B2A" w:rsidRPr="00C83A12">
        <w:rPr>
          <w:rFonts w:eastAsia="Times New Roman" w:cs="Arial"/>
          <w:color w:val="231F20"/>
          <w:lang w:val="en-US"/>
        </w:rPr>
        <w:fldChar w:fldCharType="separate"/>
      </w:r>
      <w:r w:rsidR="00C83A12" w:rsidRPr="00C83A12">
        <w:rPr>
          <w:rFonts w:cs="Arial"/>
        </w:rPr>
        <w:t xml:space="preserve">Table </w:t>
      </w:r>
      <w:r w:rsidR="00C83A12">
        <w:rPr>
          <w:rFonts w:cs="Arial"/>
          <w:noProof/>
        </w:rPr>
        <w:t>2</w:t>
      </w:r>
      <w:r w:rsidR="00B42B2A" w:rsidRPr="00C83A12">
        <w:rPr>
          <w:rFonts w:eastAsia="Times New Roman" w:cs="Arial"/>
          <w:color w:val="231F20"/>
          <w:lang w:val="en-US"/>
        </w:rPr>
        <w:fldChar w:fldCharType="end"/>
      </w:r>
      <w:r w:rsidR="00B42B2A" w:rsidRPr="00C83A12">
        <w:rPr>
          <w:rFonts w:eastAsia="Times New Roman" w:cs="Arial"/>
          <w:color w:val="231F20"/>
          <w:lang w:val="en-US"/>
        </w:rPr>
        <w:t>)</w:t>
      </w:r>
      <w:r w:rsidRPr="00C83A12">
        <w:rPr>
          <w:rFonts w:eastAsia="Times New Roman" w:cs="Arial"/>
          <w:color w:val="231F20"/>
          <w:lang w:val="en-US"/>
        </w:rPr>
        <w:t xml:space="preserve">. </w:t>
      </w:r>
    </w:p>
    <w:p w14:paraId="6AE898AD" w14:textId="77777777" w:rsidR="00B42B2A" w:rsidRPr="00C83A12" w:rsidRDefault="00B42B2A" w:rsidP="004131E1">
      <w:pPr>
        <w:autoSpaceDE w:val="0"/>
        <w:autoSpaceDN w:val="0"/>
        <w:adjustRightInd w:val="0"/>
        <w:spacing w:line="300" w:lineRule="exact"/>
        <w:rPr>
          <w:rFonts w:eastAsia="Times New Roman" w:cs="Arial"/>
          <w:color w:val="231F20"/>
          <w:lang w:val="en-US"/>
        </w:rPr>
      </w:pPr>
    </w:p>
    <w:p w14:paraId="35BC78CB" w14:textId="4AC7B7F2" w:rsidR="00EA77AC" w:rsidRPr="00C83A12" w:rsidRDefault="00B42B2A" w:rsidP="004131E1">
      <w:pPr>
        <w:pStyle w:val="Caption"/>
        <w:keepNext/>
        <w:rPr>
          <w:rFonts w:eastAsia="Times New Roman" w:cs="Arial"/>
          <w:color w:val="231F20"/>
          <w:sz w:val="20"/>
          <w:lang w:val="en-US"/>
        </w:rPr>
      </w:pPr>
      <w:bookmarkStart w:id="1" w:name="_Ref471378411"/>
      <w:r w:rsidRPr="00C83A12">
        <w:rPr>
          <w:rFonts w:cs="Arial"/>
        </w:rPr>
        <w:t xml:space="preserve">Table </w:t>
      </w:r>
      <w:r w:rsidR="00725FDA" w:rsidRPr="00C83A12">
        <w:rPr>
          <w:rFonts w:cs="Arial"/>
        </w:rPr>
        <w:fldChar w:fldCharType="begin"/>
      </w:r>
      <w:r w:rsidR="00725FDA" w:rsidRPr="00C83A12">
        <w:rPr>
          <w:rFonts w:cs="Arial"/>
        </w:rPr>
        <w:instrText xml:space="preserve"> SEQ Table \* ARABIC </w:instrText>
      </w:r>
      <w:r w:rsidR="00725FDA" w:rsidRPr="00C83A12">
        <w:rPr>
          <w:rFonts w:cs="Arial"/>
        </w:rPr>
        <w:fldChar w:fldCharType="separate"/>
      </w:r>
      <w:r w:rsidR="00C83A12">
        <w:rPr>
          <w:rFonts w:cs="Arial"/>
          <w:noProof/>
        </w:rPr>
        <w:t>2</w:t>
      </w:r>
      <w:r w:rsidR="00725FDA" w:rsidRPr="00C83A12">
        <w:rPr>
          <w:rFonts w:cs="Arial"/>
          <w:noProof/>
        </w:rPr>
        <w:fldChar w:fldCharType="end"/>
      </w:r>
      <w:bookmarkEnd w:id="1"/>
      <w:r w:rsidRPr="00C83A12">
        <w:rPr>
          <w:rFonts w:cs="Arial"/>
        </w:rPr>
        <w:t xml:space="preserve">: Government return on investment </w:t>
      </w:r>
    </w:p>
    <w:tbl>
      <w:tblPr>
        <w:tblW w:w="8931" w:type="dxa"/>
        <w:tblInd w:w="-142" w:type="dxa"/>
        <w:tblCellMar>
          <w:left w:w="0" w:type="dxa"/>
          <w:right w:w="0" w:type="dxa"/>
        </w:tblCellMar>
        <w:tblLook w:val="0420" w:firstRow="1" w:lastRow="0" w:firstColumn="0" w:lastColumn="0" w:noHBand="0" w:noVBand="1"/>
      </w:tblPr>
      <w:tblGrid>
        <w:gridCol w:w="3686"/>
        <w:gridCol w:w="1843"/>
        <w:gridCol w:w="1701"/>
        <w:gridCol w:w="1701"/>
      </w:tblGrid>
      <w:tr w:rsidR="00EA77AC" w:rsidRPr="00C83A12" w14:paraId="36055E12" w14:textId="77777777" w:rsidTr="004131E1">
        <w:trPr>
          <w:trHeight w:val="39"/>
        </w:trPr>
        <w:tc>
          <w:tcPr>
            <w:tcW w:w="3686"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1A72C430" w14:textId="77777777" w:rsidR="00EA77AC" w:rsidRPr="00C83A12" w:rsidRDefault="00EA77AC" w:rsidP="004131E1">
            <w:pPr>
              <w:autoSpaceDE w:val="0"/>
              <w:autoSpaceDN w:val="0"/>
              <w:adjustRightInd w:val="0"/>
              <w:rPr>
                <w:rFonts w:eastAsia="Times New Roman" w:cs="Arial"/>
                <w:b/>
                <w:bCs/>
                <w:color w:val="231F20"/>
                <w:sz w:val="18"/>
                <w:szCs w:val="18"/>
              </w:rPr>
            </w:pPr>
          </w:p>
        </w:tc>
        <w:tc>
          <w:tcPr>
            <w:tcW w:w="1843"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3FDD2101" w14:textId="77777777" w:rsidR="00EA77AC" w:rsidRPr="00C83A12" w:rsidRDefault="00EA77AC" w:rsidP="004131E1">
            <w:pPr>
              <w:autoSpaceDE w:val="0"/>
              <w:autoSpaceDN w:val="0"/>
              <w:adjustRightInd w:val="0"/>
              <w:jc w:val="right"/>
              <w:rPr>
                <w:rFonts w:eastAsia="Times New Roman" w:cs="Arial"/>
                <w:b/>
                <w:bCs/>
                <w:color w:val="231F20"/>
                <w:sz w:val="18"/>
                <w:szCs w:val="18"/>
              </w:rPr>
            </w:pPr>
            <w:r w:rsidRPr="00C83A12">
              <w:rPr>
                <w:rFonts w:eastAsia="Times New Roman" w:cs="Arial"/>
                <w:b/>
                <w:bCs/>
                <w:color w:val="231F20"/>
                <w:sz w:val="18"/>
                <w:szCs w:val="18"/>
              </w:rPr>
              <w:t>10%  tax incentive</w:t>
            </w:r>
          </w:p>
        </w:tc>
        <w:tc>
          <w:tcPr>
            <w:tcW w:w="1701"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21480CB7" w14:textId="77777777" w:rsidR="00EA77AC" w:rsidRPr="00C83A12" w:rsidRDefault="00EA77AC" w:rsidP="004131E1">
            <w:pPr>
              <w:autoSpaceDE w:val="0"/>
              <w:autoSpaceDN w:val="0"/>
              <w:adjustRightInd w:val="0"/>
              <w:jc w:val="right"/>
              <w:rPr>
                <w:rFonts w:eastAsia="Times New Roman" w:cs="Arial"/>
                <w:b/>
                <w:bCs/>
                <w:color w:val="231F20"/>
                <w:sz w:val="18"/>
                <w:szCs w:val="18"/>
              </w:rPr>
            </w:pPr>
            <w:r w:rsidRPr="00C83A12">
              <w:rPr>
                <w:rFonts w:eastAsia="Times New Roman" w:cs="Arial"/>
                <w:b/>
                <w:bCs/>
                <w:color w:val="231F20"/>
                <w:sz w:val="18"/>
                <w:szCs w:val="18"/>
              </w:rPr>
              <w:t>25% tax incentive</w:t>
            </w:r>
          </w:p>
        </w:tc>
        <w:tc>
          <w:tcPr>
            <w:tcW w:w="1701" w:type="dxa"/>
            <w:tcBorders>
              <w:top w:val="nil"/>
              <w:left w:val="nil"/>
              <w:bottom w:val="single" w:sz="8" w:space="0" w:color="7F7F7F"/>
              <w:right w:val="nil"/>
            </w:tcBorders>
            <w:shd w:val="clear" w:color="auto" w:fill="D9D9D9"/>
            <w:tcMar>
              <w:top w:w="41" w:type="dxa"/>
              <w:left w:w="81" w:type="dxa"/>
              <w:bottom w:w="41" w:type="dxa"/>
              <w:right w:w="81" w:type="dxa"/>
            </w:tcMar>
            <w:vAlign w:val="center"/>
            <w:hideMark/>
          </w:tcPr>
          <w:p w14:paraId="641C8ACA" w14:textId="77777777" w:rsidR="00EA77AC" w:rsidRPr="00C83A12" w:rsidRDefault="00EA77AC" w:rsidP="004131E1">
            <w:pPr>
              <w:autoSpaceDE w:val="0"/>
              <w:autoSpaceDN w:val="0"/>
              <w:adjustRightInd w:val="0"/>
              <w:jc w:val="right"/>
              <w:rPr>
                <w:rFonts w:eastAsia="Times New Roman" w:cs="Arial"/>
                <w:b/>
                <w:bCs/>
                <w:color w:val="231F20"/>
                <w:sz w:val="18"/>
                <w:szCs w:val="18"/>
              </w:rPr>
            </w:pPr>
            <w:r w:rsidRPr="00C83A12">
              <w:rPr>
                <w:rFonts w:eastAsia="Times New Roman" w:cs="Arial"/>
                <w:b/>
                <w:bCs/>
                <w:color w:val="231F20"/>
                <w:sz w:val="18"/>
                <w:szCs w:val="18"/>
              </w:rPr>
              <w:t xml:space="preserve">40% tax incentive </w:t>
            </w:r>
          </w:p>
        </w:tc>
      </w:tr>
      <w:tr w:rsidR="00EA77AC" w:rsidRPr="00C83A12" w14:paraId="2026B25B" w14:textId="77777777" w:rsidTr="004131E1">
        <w:trPr>
          <w:trHeight w:val="19"/>
        </w:trPr>
        <w:tc>
          <w:tcPr>
            <w:tcW w:w="3686"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06F6A798"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 xml:space="preserve">Investment incentive outlay by government </w:t>
            </w:r>
          </w:p>
          <w:p w14:paraId="3F881789"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 xml:space="preserve">(Incentives provided to producers) </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62FBA7C7"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$37.7m</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6B60624B"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$94.3m</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6BA7D1C0"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$150.9m</w:t>
            </w:r>
          </w:p>
        </w:tc>
      </w:tr>
      <w:tr w:rsidR="00EA77AC" w:rsidRPr="00C83A12" w14:paraId="65E470F5" w14:textId="77777777" w:rsidTr="004131E1">
        <w:trPr>
          <w:trHeight w:val="19"/>
        </w:trPr>
        <w:tc>
          <w:tcPr>
            <w:tcW w:w="3686"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07950D6D" w14:textId="77777777" w:rsidR="00EA77AC" w:rsidRPr="00C83A12" w:rsidRDefault="00EA77AC" w:rsidP="004131E1">
            <w:pPr>
              <w:autoSpaceDE w:val="0"/>
              <w:autoSpaceDN w:val="0"/>
              <w:adjustRightInd w:val="0"/>
              <w:rPr>
                <w:rFonts w:eastAsia="Times New Roman" w:cs="Arial"/>
                <w:color w:val="231F20"/>
                <w:sz w:val="18"/>
                <w:szCs w:val="18"/>
              </w:rPr>
            </w:pPr>
            <w:r w:rsidRPr="00C83A12">
              <w:rPr>
                <w:rFonts w:eastAsia="Times New Roman" w:cs="Arial"/>
                <w:color w:val="231F20"/>
                <w:sz w:val="18"/>
                <w:szCs w:val="18"/>
              </w:rPr>
              <w:t xml:space="preserve">Additional tax revenue received by government </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7C30C332"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$28.5m</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75BD42A2"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$95.9m</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78B22939" w14:textId="77777777" w:rsidR="00EA77AC" w:rsidRPr="00C83A12" w:rsidRDefault="00EA77AC" w:rsidP="004131E1">
            <w:pPr>
              <w:autoSpaceDE w:val="0"/>
              <w:autoSpaceDN w:val="0"/>
              <w:adjustRightInd w:val="0"/>
              <w:jc w:val="right"/>
              <w:rPr>
                <w:rFonts w:eastAsia="Times New Roman" w:cs="Arial"/>
                <w:color w:val="231F20"/>
                <w:sz w:val="18"/>
                <w:szCs w:val="18"/>
              </w:rPr>
            </w:pPr>
            <w:r w:rsidRPr="00C83A12">
              <w:rPr>
                <w:rFonts w:eastAsia="Times New Roman" w:cs="Arial"/>
                <w:color w:val="231F20"/>
                <w:sz w:val="18"/>
                <w:szCs w:val="18"/>
              </w:rPr>
              <w:t>$153.4m</w:t>
            </w:r>
          </w:p>
        </w:tc>
      </w:tr>
      <w:tr w:rsidR="00EA77AC" w:rsidRPr="00C83A12" w14:paraId="299D2BC6" w14:textId="77777777" w:rsidTr="004131E1">
        <w:trPr>
          <w:trHeight w:val="19"/>
        </w:trPr>
        <w:tc>
          <w:tcPr>
            <w:tcW w:w="3686"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07CE4D96" w14:textId="77777777" w:rsidR="00EA77AC" w:rsidRPr="00C83A12" w:rsidRDefault="00EA77AC" w:rsidP="004131E1">
            <w:pPr>
              <w:autoSpaceDE w:val="0"/>
              <w:autoSpaceDN w:val="0"/>
              <w:adjustRightInd w:val="0"/>
              <w:rPr>
                <w:rFonts w:eastAsia="Times New Roman" w:cs="Arial"/>
                <w:b/>
                <w:color w:val="231F20"/>
                <w:sz w:val="18"/>
                <w:szCs w:val="18"/>
              </w:rPr>
            </w:pPr>
            <w:r w:rsidRPr="00C83A12">
              <w:rPr>
                <w:rFonts w:eastAsia="Times New Roman" w:cs="Arial"/>
                <w:b/>
                <w:color w:val="231F20"/>
                <w:sz w:val="18"/>
                <w:szCs w:val="18"/>
              </w:rPr>
              <w:t xml:space="preserve">Net (cost)/revenue to government </w:t>
            </w:r>
          </w:p>
        </w:tc>
        <w:tc>
          <w:tcPr>
            <w:tcW w:w="1843"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10831A29" w14:textId="77777777" w:rsidR="00EA77AC" w:rsidRPr="00C83A12" w:rsidRDefault="00EA77AC" w:rsidP="004131E1">
            <w:pPr>
              <w:autoSpaceDE w:val="0"/>
              <w:autoSpaceDN w:val="0"/>
              <w:adjustRightInd w:val="0"/>
              <w:jc w:val="right"/>
              <w:rPr>
                <w:rFonts w:eastAsia="Times New Roman" w:cs="Arial"/>
                <w:b/>
                <w:color w:val="231F20"/>
                <w:sz w:val="18"/>
                <w:szCs w:val="18"/>
              </w:rPr>
            </w:pPr>
            <w:r w:rsidRPr="00C83A12">
              <w:rPr>
                <w:rFonts w:eastAsia="Times New Roman" w:cs="Arial"/>
                <w:b/>
                <w:color w:val="231F20"/>
                <w:sz w:val="18"/>
                <w:szCs w:val="18"/>
              </w:rPr>
              <w:t>($9.3m)</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108F3FE2" w14:textId="77777777" w:rsidR="00EA77AC" w:rsidRPr="00C83A12" w:rsidRDefault="00EA77AC" w:rsidP="004131E1">
            <w:pPr>
              <w:autoSpaceDE w:val="0"/>
              <w:autoSpaceDN w:val="0"/>
              <w:adjustRightInd w:val="0"/>
              <w:jc w:val="right"/>
              <w:rPr>
                <w:rFonts w:eastAsia="Times New Roman" w:cs="Arial"/>
                <w:b/>
                <w:color w:val="231F20"/>
                <w:sz w:val="18"/>
                <w:szCs w:val="18"/>
              </w:rPr>
            </w:pPr>
            <w:r w:rsidRPr="00C83A12">
              <w:rPr>
                <w:rFonts w:eastAsia="Times New Roman" w:cs="Arial"/>
                <w:b/>
                <w:color w:val="231F20"/>
                <w:sz w:val="18"/>
                <w:szCs w:val="18"/>
              </w:rPr>
              <w:t>$1.6m</w:t>
            </w:r>
          </w:p>
        </w:tc>
        <w:tc>
          <w:tcPr>
            <w:tcW w:w="1701" w:type="dxa"/>
            <w:tcBorders>
              <w:top w:val="single" w:sz="8" w:space="0" w:color="7F7F7F"/>
              <w:left w:val="nil"/>
              <w:bottom w:val="single" w:sz="8" w:space="0" w:color="7F7F7F"/>
              <w:right w:val="nil"/>
            </w:tcBorders>
            <w:shd w:val="clear" w:color="auto" w:fill="auto"/>
            <w:tcMar>
              <w:top w:w="41" w:type="dxa"/>
              <w:left w:w="81" w:type="dxa"/>
              <w:bottom w:w="41" w:type="dxa"/>
              <w:right w:w="81" w:type="dxa"/>
            </w:tcMar>
            <w:vAlign w:val="center"/>
            <w:hideMark/>
          </w:tcPr>
          <w:p w14:paraId="6292824A" w14:textId="77777777" w:rsidR="00EA77AC" w:rsidRPr="00C83A12" w:rsidRDefault="00EA77AC" w:rsidP="004131E1">
            <w:pPr>
              <w:autoSpaceDE w:val="0"/>
              <w:autoSpaceDN w:val="0"/>
              <w:adjustRightInd w:val="0"/>
              <w:jc w:val="right"/>
              <w:rPr>
                <w:rFonts w:eastAsia="Times New Roman" w:cs="Arial"/>
                <w:b/>
                <w:color w:val="231F20"/>
                <w:sz w:val="18"/>
                <w:szCs w:val="18"/>
              </w:rPr>
            </w:pPr>
            <w:r w:rsidRPr="00C83A12">
              <w:rPr>
                <w:rFonts w:eastAsia="Times New Roman" w:cs="Arial"/>
                <w:b/>
                <w:color w:val="231F20"/>
                <w:sz w:val="18"/>
                <w:szCs w:val="18"/>
              </w:rPr>
              <w:t>$2.5m</w:t>
            </w:r>
          </w:p>
        </w:tc>
      </w:tr>
    </w:tbl>
    <w:p w14:paraId="0DA50B12" w14:textId="77777777" w:rsidR="00EA77AC" w:rsidRDefault="00EA77AC" w:rsidP="004131E1">
      <w:pPr>
        <w:autoSpaceDE w:val="0"/>
        <w:autoSpaceDN w:val="0"/>
        <w:adjustRightInd w:val="0"/>
        <w:spacing w:line="300" w:lineRule="exact"/>
        <w:rPr>
          <w:rFonts w:eastAsia="Times New Roman" w:cs="Arial"/>
          <w:color w:val="231F20"/>
          <w:lang w:val="en-US"/>
        </w:rPr>
      </w:pPr>
    </w:p>
    <w:p w14:paraId="3F6A5209" w14:textId="77777777" w:rsidR="000C144D" w:rsidRDefault="000C144D" w:rsidP="004131E1">
      <w:pPr>
        <w:autoSpaceDE w:val="0"/>
        <w:autoSpaceDN w:val="0"/>
        <w:adjustRightInd w:val="0"/>
        <w:spacing w:line="300" w:lineRule="exact"/>
        <w:rPr>
          <w:rFonts w:eastAsia="Times New Roman" w:cs="Arial"/>
          <w:color w:val="231F20"/>
          <w:lang w:val="en-US"/>
        </w:rPr>
      </w:pPr>
    </w:p>
    <w:p w14:paraId="6CD9E97A" w14:textId="77777777" w:rsidR="000C144D" w:rsidRDefault="000C144D" w:rsidP="004131E1">
      <w:pPr>
        <w:autoSpaceDE w:val="0"/>
        <w:autoSpaceDN w:val="0"/>
        <w:adjustRightInd w:val="0"/>
        <w:spacing w:line="300" w:lineRule="exact"/>
        <w:rPr>
          <w:rFonts w:eastAsia="Times New Roman" w:cs="Arial"/>
          <w:color w:val="231F20"/>
          <w:lang w:val="en-US"/>
        </w:rPr>
      </w:pPr>
    </w:p>
    <w:p w14:paraId="7EDECEB9" w14:textId="77777777" w:rsidR="000C144D" w:rsidRDefault="000C144D" w:rsidP="004131E1">
      <w:pPr>
        <w:autoSpaceDE w:val="0"/>
        <w:autoSpaceDN w:val="0"/>
        <w:adjustRightInd w:val="0"/>
        <w:spacing w:line="300" w:lineRule="exact"/>
        <w:rPr>
          <w:rFonts w:eastAsia="Times New Roman" w:cs="Arial"/>
          <w:color w:val="231F20"/>
          <w:lang w:val="en-US"/>
        </w:rPr>
      </w:pPr>
    </w:p>
    <w:p w14:paraId="44AD9481" w14:textId="77777777" w:rsidR="000C144D" w:rsidRDefault="000C144D" w:rsidP="004131E1">
      <w:pPr>
        <w:autoSpaceDE w:val="0"/>
        <w:autoSpaceDN w:val="0"/>
        <w:adjustRightInd w:val="0"/>
        <w:spacing w:line="300" w:lineRule="exact"/>
        <w:rPr>
          <w:rFonts w:eastAsia="Times New Roman" w:cs="Arial"/>
          <w:color w:val="231F20"/>
          <w:lang w:val="en-US"/>
        </w:rPr>
      </w:pPr>
    </w:p>
    <w:p w14:paraId="5226F819" w14:textId="77777777" w:rsidR="000C144D" w:rsidRDefault="000C144D" w:rsidP="004131E1">
      <w:pPr>
        <w:autoSpaceDE w:val="0"/>
        <w:autoSpaceDN w:val="0"/>
        <w:adjustRightInd w:val="0"/>
        <w:spacing w:line="300" w:lineRule="exact"/>
        <w:rPr>
          <w:rFonts w:eastAsia="Times New Roman" w:cs="Arial"/>
          <w:color w:val="231F20"/>
          <w:lang w:val="en-US"/>
        </w:rPr>
      </w:pPr>
    </w:p>
    <w:p w14:paraId="3C08ABC0" w14:textId="77777777" w:rsidR="000C144D" w:rsidRPr="00C83A12" w:rsidRDefault="000C144D" w:rsidP="004131E1">
      <w:pPr>
        <w:autoSpaceDE w:val="0"/>
        <w:autoSpaceDN w:val="0"/>
        <w:adjustRightInd w:val="0"/>
        <w:spacing w:line="300" w:lineRule="exact"/>
        <w:rPr>
          <w:rFonts w:eastAsia="Times New Roman" w:cs="Arial"/>
          <w:color w:val="231F20"/>
          <w:lang w:val="en-US"/>
        </w:rPr>
      </w:pPr>
    </w:p>
    <w:p w14:paraId="5E8721AC" w14:textId="40EAE238" w:rsidR="003F1A66" w:rsidRPr="00C83A12" w:rsidRDefault="003F1A66" w:rsidP="004131E1">
      <w:pPr>
        <w:pStyle w:val="ListParagraph"/>
        <w:numPr>
          <w:ilvl w:val="0"/>
          <w:numId w:val="32"/>
        </w:numPr>
        <w:autoSpaceDE w:val="0"/>
        <w:autoSpaceDN w:val="0"/>
        <w:adjustRightInd w:val="0"/>
        <w:spacing w:line="300" w:lineRule="exact"/>
        <w:ind w:left="426" w:hanging="426"/>
        <w:rPr>
          <w:rFonts w:eastAsia="Times New Roman" w:cs="Arial"/>
          <w:b/>
          <w:color w:val="CB1543"/>
          <w:lang w:val="en-US"/>
        </w:rPr>
      </w:pPr>
      <w:r w:rsidRPr="00C83A12">
        <w:rPr>
          <w:rFonts w:eastAsia="Times New Roman" w:cs="Arial"/>
          <w:b/>
          <w:color w:val="CB1543"/>
          <w:lang w:val="en-US"/>
        </w:rPr>
        <w:lastRenderedPageBreak/>
        <w:t>SEED FUND</w:t>
      </w:r>
    </w:p>
    <w:p w14:paraId="32E4D0E4" w14:textId="77777777" w:rsidR="00DD5AD1" w:rsidRPr="00C83A12" w:rsidRDefault="00DD5AD1" w:rsidP="004131E1">
      <w:pPr>
        <w:autoSpaceDE w:val="0"/>
        <w:autoSpaceDN w:val="0"/>
        <w:adjustRightInd w:val="0"/>
        <w:spacing w:line="300" w:lineRule="exact"/>
        <w:rPr>
          <w:rFonts w:eastAsia="Times New Roman" w:cs="Arial"/>
          <w:color w:val="231F20"/>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D5AD1" w:rsidRPr="00C83A12" w14:paraId="24BA2508" w14:textId="77777777" w:rsidTr="00D656FD">
        <w:tc>
          <w:tcPr>
            <w:tcW w:w="8789" w:type="dxa"/>
            <w:shd w:val="clear" w:color="auto" w:fill="D9D9D9" w:themeFill="background1" w:themeFillShade="D9"/>
          </w:tcPr>
          <w:p w14:paraId="225A318E" w14:textId="451A2A54" w:rsidR="00DD5AD1" w:rsidRPr="00C83A12" w:rsidRDefault="00DD5AD1" w:rsidP="004131E1">
            <w:pPr>
              <w:autoSpaceDE w:val="0"/>
              <w:autoSpaceDN w:val="0"/>
              <w:adjustRightInd w:val="0"/>
              <w:spacing w:before="120" w:line="300" w:lineRule="exact"/>
              <w:rPr>
                <w:rFonts w:eastAsia="Times New Roman" w:cs="Arial"/>
                <w:b/>
                <w:color w:val="231F20"/>
                <w:lang w:val="en-US"/>
              </w:rPr>
            </w:pPr>
            <w:r w:rsidRPr="00C83A12">
              <w:rPr>
                <w:rFonts w:eastAsia="Times New Roman" w:cs="Arial"/>
                <w:b/>
                <w:color w:val="231F20"/>
                <w:lang w:val="en-US"/>
              </w:rPr>
              <w:t xml:space="preserve">Budget request 2: </w:t>
            </w:r>
          </w:p>
          <w:p w14:paraId="792BE9ED" w14:textId="664FA54B" w:rsidR="00DD5AD1" w:rsidRPr="00C83A12" w:rsidRDefault="00DD5AD1" w:rsidP="004131E1">
            <w:pPr>
              <w:autoSpaceDE w:val="0"/>
              <w:autoSpaceDN w:val="0"/>
              <w:adjustRightInd w:val="0"/>
              <w:spacing w:after="120" w:line="300" w:lineRule="exact"/>
              <w:rPr>
                <w:rFonts w:eastAsia="Times New Roman" w:cs="Arial"/>
                <w:b/>
                <w:color w:val="231F20"/>
                <w:lang w:val="en-US"/>
              </w:rPr>
            </w:pPr>
            <w:r w:rsidRPr="00C83A12">
              <w:rPr>
                <w:rFonts w:eastAsia="Times New Roman" w:cs="Arial"/>
                <w:color w:val="231F20"/>
                <w:lang w:val="en-US"/>
              </w:rPr>
              <w:t>Establish a major seed fund</w:t>
            </w:r>
            <w:r w:rsidR="00AF321F" w:rsidRPr="00C83A12">
              <w:rPr>
                <w:rFonts w:eastAsia="Times New Roman" w:cs="Arial"/>
                <w:color w:val="231F20"/>
                <w:lang w:val="en-US"/>
              </w:rPr>
              <w:t xml:space="preserve"> ($20 million over four years)</w:t>
            </w:r>
            <w:r w:rsidRPr="00C83A12">
              <w:rPr>
                <w:rFonts w:eastAsia="Times New Roman" w:cs="Arial"/>
                <w:color w:val="231F20"/>
                <w:lang w:val="en-US"/>
              </w:rPr>
              <w:t xml:space="preserve"> for original Australian works of scale </w:t>
            </w:r>
          </w:p>
        </w:tc>
      </w:tr>
    </w:tbl>
    <w:p w14:paraId="142B682B" w14:textId="77777777" w:rsidR="00DD5AD1" w:rsidRPr="00C83A12" w:rsidRDefault="00DD5AD1" w:rsidP="004131E1">
      <w:pPr>
        <w:autoSpaceDE w:val="0"/>
        <w:autoSpaceDN w:val="0"/>
        <w:adjustRightInd w:val="0"/>
        <w:spacing w:line="300" w:lineRule="exact"/>
        <w:rPr>
          <w:rFonts w:eastAsia="Times New Roman" w:cs="Arial"/>
          <w:b/>
          <w:color w:val="231F20"/>
          <w:lang w:val="en-US"/>
        </w:rPr>
      </w:pPr>
    </w:p>
    <w:p w14:paraId="2A2D0CBE" w14:textId="5EA20788" w:rsidR="00864262" w:rsidRDefault="00F61CCC" w:rsidP="00864262">
      <w:pPr>
        <w:autoSpaceDE w:val="0"/>
        <w:autoSpaceDN w:val="0"/>
        <w:adjustRightInd w:val="0"/>
        <w:spacing w:line="300" w:lineRule="exact"/>
        <w:rPr>
          <w:rFonts w:eastAsia="Times New Roman" w:cs="Arial"/>
          <w:color w:val="231F20"/>
          <w:lang w:val="en-US"/>
        </w:rPr>
      </w:pPr>
      <w:r w:rsidRPr="00864262">
        <w:rPr>
          <w:rFonts w:eastAsia="Times New Roman" w:cs="Arial"/>
          <w:color w:val="231F20"/>
          <w:lang w:val="en-US"/>
        </w:rPr>
        <w:t xml:space="preserve">Australia has the opportunity to create and exploit intellectual property derived from original work. However, creating original work </w:t>
      </w:r>
      <w:r w:rsidR="00864262" w:rsidRPr="00864262">
        <w:rPr>
          <w:rFonts w:eastAsia="Times New Roman" w:cs="Arial"/>
          <w:color w:val="231F20"/>
          <w:lang w:val="en-US"/>
        </w:rPr>
        <w:t xml:space="preserve">is risky and </w:t>
      </w:r>
      <w:r w:rsidRPr="00864262">
        <w:rPr>
          <w:rFonts w:eastAsia="Times New Roman" w:cs="Arial"/>
          <w:color w:val="231F20"/>
          <w:lang w:val="en-US"/>
        </w:rPr>
        <w:t>requires significant upfront capital</w:t>
      </w:r>
      <w:r w:rsidR="00864262" w:rsidRPr="00864262">
        <w:rPr>
          <w:rFonts w:eastAsia="Times New Roman" w:cs="Arial"/>
          <w:color w:val="231F20"/>
          <w:lang w:val="en-US"/>
        </w:rPr>
        <w:t xml:space="preserve"> to bring an idea to life</w:t>
      </w:r>
      <w:r w:rsidR="001D01F8">
        <w:rPr>
          <w:rFonts w:eastAsia="Times New Roman" w:cs="Arial"/>
          <w:color w:val="231F20"/>
          <w:lang w:val="en-US"/>
        </w:rPr>
        <w:t>. F</w:t>
      </w:r>
      <w:r w:rsidRPr="00864262">
        <w:rPr>
          <w:rFonts w:eastAsia="Times New Roman" w:cs="Arial"/>
          <w:color w:val="231F20"/>
          <w:lang w:val="en-US"/>
        </w:rPr>
        <w:t>ew original works of scale are produced</w:t>
      </w:r>
      <w:r w:rsidR="00A4547C">
        <w:rPr>
          <w:rFonts w:eastAsia="Times New Roman" w:cs="Arial"/>
          <w:color w:val="231F20"/>
          <w:lang w:val="en-US"/>
        </w:rPr>
        <w:t xml:space="preserve"> in Australia</w:t>
      </w:r>
      <w:r w:rsidRPr="00864262">
        <w:rPr>
          <w:rFonts w:eastAsia="Times New Roman" w:cs="Arial"/>
          <w:color w:val="231F20"/>
          <w:lang w:val="en-US"/>
        </w:rPr>
        <w:t xml:space="preserve"> due to high development costs associated with ‘proving the concept’ and ‘pre-production’.</w:t>
      </w:r>
      <w:r w:rsidR="00864262" w:rsidRPr="00864262">
        <w:rPr>
          <w:rFonts w:eastAsia="Times New Roman" w:cs="Arial"/>
          <w:color w:val="231F20"/>
          <w:lang w:val="en-US"/>
        </w:rPr>
        <w:t xml:space="preserve"> </w:t>
      </w:r>
      <w:r w:rsidR="00864262" w:rsidRPr="00C83A12">
        <w:rPr>
          <w:rFonts w:eastAsia="Times New Roman" w:cs="Arial"/>
          <w:color w:val="231F20"/>
          <w:lang w:val="en-US"/>
        </w:rPr>
        <w:t xml:space="preserve">Creative teams will firstly develop an idea into a script and then conduct a series of workshops to prove the concept. If the idea passes the proof of concept stage, it continues to be developed in a pre-production phase. It is then typically tested with audiences and revised based on test audience feedback before the final product is presented. This entire process typically takes several years. </w:t>
      </w:r>
    </w:p>
    <w:p w14:paraId="449EF240" w14:textId="77777777" w:rsidR="00864262" w:rsidRPr="00C83A12" w:rsidRDefault="00864262" w:rsidP="00864262">
      <w:pPr>
        <w:autoSpaceDE w:val="0"/>
        <w:autoSpaceDN w:val="0"/>
        <w:adjustRightInd w:val="0"/>
        <w:spacing w:line="300" w:lineRule="exact"/>
        <w:rPr>
          <w:rFonts w:eastAsia="Times New Roman" w:cs="Arial"/>
          <w:color w:val="231F20"/>
          <w:lang w:val="en-US"/>
        </w:rPr>
      </w:pPr>
    </w:p>
    <w:p w14:paraId="269EFEAF" w14:textId="726A548C" w:rsidR="001D01F8" w:rsidRDefault="001D01F8" w:rsidP="00F61CCC">
      <w:pPr>
        <w:autoSpaceDE w:val="0"/>
        <w:autoSpaceDN w:val="0"/>
        <w:adjustRightInd w:val="0"/>
        <w:spacing w:line="300" w:lineRule="exact"/>
        <w:rPr>
          <w:rFonts w:eastAsia="Times New Roman" w:cs="Arial"/>
          <w:color w:val="231F20"/>
          <w:lang w:val="en-US"/>
        </w:rPr>
      </w:pPr>
      <w:r>
        <w:rPr>
          <w:rFonts w:eastAsia="Times New Roman" w:cs="Arial"/>
          <w:color w:val="231F20"/>
          <w:lang w:val="en-US"/>
        </w:rPr>
        <w:t>A</w:t>
      </w:r>
      <w:r w:rsidR="00864262" w:rsidRPr="00C83A12">
        <w:rPr>
          <w:rFonts w:eastAsia="Times New Roman" w:cs="Arial"/>
          <w:color w:val="231F20"/>
          <w:lang w:val="en-US"/>
        </w:rPr>
        <w:t xml:space="preserve"> seed fund</w:t>
      </w:r>
      <w:r>
        <w:rPr>
          <w:rFonts w:eastAsia="Times New Roman" w:cs="Arial"/>
          <w:color w:val="231F20"/>
          <w:lang w:val="en-US"/>
        </w:rPr>
        <w:t xml:space="preserve"> to support the creation of more original ‘works of scale’ by Australians</w:t>
      </w:r>
      <w:r w:rsidR="00864262" w:rsidRPr="00C83A12">
        <w:rPr>
          <w:rFonts w:eastAsia="Times New Roman" w:cs="Arial"/>
          <w:color w:val="231F20"/>
          <w:lang w:val="en-US"/>
        </w:rPr>
        <w:t xml:space="preserve"> </w:t>
      </w:r>
      <w:r>
        <w:rPr>
          <w:rFonts w:eastAsia="Times New Roman" w:cs="Arial"/>
          <w:color w:val="231F20"/>
          <w:lang w:val="en-US"/>
        </w:rPr>
        <w:t xml:space="preserve">could give </w:t>
      </w:r>
      <w:r w:rsidR="00F61CCC" w:rsidRPr="00864262">
        <w:rPr>
          <w:rFonts w:eastAsia="Times New Roman" w:cs="Arial"/>
          <w:color w:val="231F20"/>
          <w:lang w:val="en-US"/>
        </w:rPr>
        <w:t xml:space="preserve">priority to those works that: </w:t>
      </w:r>
    </w:p>
    <w:p w14:paraId="20B8FC6B" w14:textId="77777777" w:rsidR="001D01F8" w:rsidRDefault="00F61CCC" w:rsidP="0038171E">
      <w:pPr>
        <w:pStyle w:val="ListParagraph"/>
        <w:numPr>
          <w:ilvl w:val="0"/>
          <w:numId w:val="34"/>
        </w:numPr>
        <w:autoSpaceDE w:val="0"/>
        <w:autoSpaceDN w:val="0"/>
        <w:adjustRightInd w:val="0"/>
        <w:spacing w:line="300" w:lineRule="exact"/>
        <w:rPr>
          <w:rFonts w:eastAsia="Times New Roman" w:cs="Arial"/>
          <w:color w:val="231F20"/>
          <w:lang w:val="en-US"/>
        </w:rPr>
      </w:pPr>
      <w:r w:rsidRPr="0038171E">
        <w:rPr>
          <w:rFonts w:eastAsia="Times New Roman" w:cs="Arial"/>
          <w:color w:val="231F20"/>
          <w:lang w:val="en-US"/>
        </w:rPr>
        <w:t xml:space="preserve">have potential for domestic and international IP or licensing exploitation; </w:t>
      </w:r>
    </w:p>
    <w:p w14:paraId="0902898F" w14:textId="77777777" w:rsidR="001D01F8" w:rsidRDefault="00F61CCC" w:rsidP="0038171E">
      <w:pPr>
        <w:pStyle w:val="ListParagraph"/>
        <w:numPr>
          <w:ilvl w:val="0"/>
          <w:numId w:val="34"/>
        </w:numPr>
        <w:autoSpaceDE w:val="0"/>
        <w:autoSpaceDN w:val="0"/>
        <w:adjustRightInd w:val="0"/>
        <w:spacing w:line="300" w:lineRule="exact"/>
        <w:rPr>
          <w:rFonts w:eastAsia="Times New Roman" w:cs="Arial"/>
          <w:color w:val="231F20"/>
          <w:lang w:val="en-US"/>
        </w:rPr>
      </w:pPr>
      <w:r w:rsidRPr="0038171E">
        <w:rPr>
          <w:rFonts w:eastAsia="Times New Roman" w:cs="Arial"/>
          <w:color w:val="231F20"/>
          <w:lang w:val="en-US"/>
        </w:rPr>
        <w:t>create employment for Australian creatives, performers and technicians; and</w:t>
      </w:r>
    </w:p>
    <w:p w14:paraId="2FB13F19" w14:textId="3A8DDAD4" w:rsidR="001D01F8" w:rsidRDefault="00F61CCC" w:rsidP="0038171E">
      <w:pPr>
        <w:pStyle w:val="ListParagraph"/>
        <w:numPr>
          <w:ilvl w:val="0"/>
          <w:numId w:val="34"/>
        </w:numPr>
        <w:autoSpaceDE w:val="0"/>
        <w:autoSpaceDN w:val="0"/>
        <w:adjustRightInd w:val="0"/>
        <w:spacing w:line="300" w:lineRule="exact"/>
        <w:rPr>
          <w:rFonts w:eastAsia="Times New Roman" w:cs="Arial"/>
          <w:color w:val="231F20"/>
          <w:lang w:val="en-US"/>
        </w:rPr>
      </w:pPr>
      <w:proofErr w:type="gramStart"/>
      <w:r w:rsidRPr="0038171E">
        <w:rPr>
          <w:rFonts w:eastAsia="Times New Roman" w:cs="Arial"/>
          <w:color w:val="231F20"/>
          <w:lang w:val="en-US"/>
        </w:rPr>
        <w:t>demonstrate</w:t>
      </w:r>
      <w:proofErr w:type="gramEnd"/>
      <w:r w:rsidRPr="0038171E">
        <w:rPr>
          <w:rFonts w:eastAsia="Times New Roman" w:cs="Arial"/>
          <w:color w:val="231F20"/>
          <w:lang w:val="en-US"/>
        </w:rPr>
        <w:t xml:space="preserve"> market demand. </w:t>
      </w:r>
    </w:p>
    <w:p w14:paraId="58EA3EC2" w14:textId="77777777" w:rsidR="001D01F8" w:rsidRDefault="001D01F8">
      <w:pPr>
        <w:autoSpaceDE w:val="0"/>
        <w:autoSpaceDN w:val="0"/>
        <w:adjustRightInd w:val="0"/>
        <w:spacing w:line="300" w:lineRule="exact"/>
        <w:rPr>
          <w:rFonts w:eastAsia="Times New Roman" w:cs="Arial"/>
          <w:color w:val="231F20"/>
          <w:lang w:val="en-US"/>
        </w:rPr>
      </w:pPr>
    </w:p>
    <w:p w14:paraId="59DE33C8" w14:textId="73B32D05" w:rsidR="00F61CCC" w:rsidRPr="00C83A12" w:rsidRDefault="00F61CCC" w:rsidP="00F61CCC">
      <w:pPr>
        <w:autoSpaceDE w:val="0"/>
        <w:autoSpaceDN w:val="0"/>
        <w:adjustRightInd w:val="0"/>
        <w:spacing w:line="300" w:lineRule="exact"/>
        <w:rPr>
          <w:rFonts w:eastAsia="Times New Roman" w:cs="Arial"/>
          <w:color w:val="231F20"/>
          <w:lang w:val="en-US"/>
        </w:rPr>
      </w:pPr>
      <w:r w:rsidRPr="0038171E">
        <w:rPr>
          <w:rFonts w:eastAsia="Times New Roman" w:cs="Arial"/>
          <w:color w:val="231F20"/>
          <w:lang w:val="en-US"/>
        </w:rPr>
        <w:t>Access to the seed fund would be open to not-for-profit and commercial companies.</w:t>
      </w:r>
      <w:r w:rsidR="0038171E">
        <w:rPr>
          <w:rFonts w:eastAsia="Times New Roman" w:cs="Arial"/>
          <w:color w:val="231F20"/>
          <w:lang w:val="en-US"/>
        </w:rPr>
        <w:t xml:space="preserve"> </w:t>
      </w:r>
      <w:r w:rsidRPr="00864262">
        <w:rPr>
          <w:rFonts w:eastAsia="Times New Roman" w:cs="Arial"/>
          <w:color w:val="231F20"/>
          <w:lang w:val="en-US"/>
        </w:rPr>
        <w:t>Criteria for seed investment in wor</w:t>
      </w:r>
      <w:r w:rsidR="00864262" w:rsidRPr="00864262">
        <w:rPr>
          <w:rFonts w:eastAsia="Times New Roman" w:cs="Arial"/>
          <w:color w:val="231F20"/>
          <w:lang w:val="en-US"/>
        </w:rPr>
        <w:t>ks of scale would include, for example</w:t>
      </w:r>
      <w:r w:rsidRPr="00864262">
        <w:rPr>
          <w:rFonts w:eastAsia="Times New Roman" w:cs="Arial"/>
          <w:color w:val="231F20"/>
          <w:lang w:val="en-US"/>
        </w:rPr>
        <w:t>: venue size (600-2000); cast, creative and technicians (</w:t>
      </w:r>
      <w:r w:rsidR="00864262" w:rsidRPr="00864262">
        <w:rPr>
          <w:rFonts w:eastAsia="Times New Roman" w:cs="Arial"/>
          <w:color w:val="231F20"/>
          <w:lang w:val="en-US"/>
        </w:rPr>
        <w:t>minimum of 12 employees</w:t>
      </w:r>
      <w:r w:rsidRPr="00864262">
        <w:rPr>
          <w:rFonts w:eastAsia="Times New Roman" w:cs="Arial"/>
          <w:color w:val="231F20"/>
          <w:lang w:val="en-US"/>
        </w:rPr>
        <w:t xml:space="preserve">); and matched funding. </w:t>
      </w:r>
    </w:p>
    <w:p w14:paraId="0E63097C" w14:textId="77777777" w:rsidR="00FC17A6" w:rsidRPr="00C83A12" w:rsidRDefault="00FC17A6" w:rsidP="004131E1">
      <w:pPr>
        <w:autoSpaceDE w:val="0"/>
        <w:autoSpaceDN w:val="0"/>
        <w:adjustRightInd w:val="0"/>
        <w:spacing w:line="300" w:lineRule="exact"/>
        <w:rPr>
          <w:rFonts w:eastAsia="Times New Roman" w:cs="Arial"/>
          <w:color w:val="231F20"/>
          <w:lang w:val="en-US"/>
        </w:rPr>
      </w:pPr>
    </w:p>
    <w:p w14:paraId="3EBC417C" w14:textId="003DFC30" w:rsidR="00FC17A6" w:rsidRPr="00C83A12" w:rsidRDefault="0064296D"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There are a </w:t>
      </w:r>
      <w:r w:rsidR="002376F1">
        <w:rPr>
          <w:rFonts w:eastAsia="Times New Roman" w:cs="Arial"/>
          <w:color w:val="231F20"/>
          <w:lang w:val="en-US"/>
        </w:rPr>
        <w:t>variety of benefits resulting f</w:t>
      </w:r>
      <w:r w:rsidRPr="00C83A12">
        <w:rPr>
          <w:rFonts w:eastAsia="Times New Roman" w:cs="Arial"/>
          <w:color w:val="231F20"/>
          <w:lang w:val="en-US"/>
        </w:rPr>
        <w:t>r</w:t>
      </w:r>
      <w:r w:rsidR="002376F1">
        <w:rPr>
          <w:rFonts w:eastAsia="Times New Roman" w:cs="Arial"/>
          <w:color w:val="231F20"/>
          <w:lang w:val="en-US"/>
        </w:rPr>
        <w:t>om</w:t>
      </w:r>
      <w:r w:rsidRPr="00C83A12">
        <w:rPr>
          <w:rFonts w:eastAsia="Times New Roman" w:cs="Arial"/>
          <w:color w:val="231F20"/>
          <w:lang w:val="en-US"/>
        </w:rPr>
        <w:t xml:space="preserve"> the creation of original Australian work. </w:t>
      </w:r>
      <w:r w:rsidR="00071ED2" w:rsidRPr="00C83A12">
        <w:rPr>
          <w:rFonts w:eastAsia="Times New Roman" w:cs="Arial"/>
          <w:color w:val="231F20"/>
          <w:lang w:val="en-US"/>
        </w:rPr>
        <w:t xml:space="preserve">For Australian creatives and professionals, it </w:t>
      </w:r>
      <w:r w:rsidRPr="00C83A12">
        <w:rPr>
          <w:rFonts w:eastAsia="Times New Roman" w:cs="Arial"/>
          <w:color w:val="231F20"/>
          <w:lang w:val="en-US"/>
        </w:rPr>
        <w:t xml:space="preserve">provides </w:t>
      </w:r>
      <w:r w:rsidR="00071ED2" w:rsidRPr="00C83A12">
        <w:rPr>
          <w:rFonts w:eastAsia="Times New Roman" w:cs="Arial"/>
          <w:color w:val="231F20"/>
          <w:lang w:val="en-US"/>
        </w:rPr>
        <w:t>opportunities</w:t>
      </w:r>
      <w:r w:rsidRPr="00C83A12">
        <w:rPr>
          <w:rFonts w:eastAsia="Times New Roman" w:cs="Arial"/>
          <w:color w:val="231F20"/>
          <w:lang w:val="en-US"/>
        </w:rPr>
        <w:t xml:space="preserve"> to work on a new production that significantly enhances their skills and career prospects. </w:t>
      </w:r>
      <w:r w:rsidR="00FC17A6" w:rsidRPr="00C83A12">
        <w:rPr>
          <w:rFonts w:eastAsia="Times New Roman" w:cs="Arial"/>
          <w:color w:val="231F20"/>
          <w:lang w:val="en-US"/>
        </w:rPr>
        <w:t>New original works result in Australian-owned creative intellectual property. This provides opportunities for new works to be licensed overseas, result</w:t>
      </w:r>
      <w:r w:rsidR="004B259D">
        <w:rPr>
          <w:rFonts w:eastAsia="Times New Roman" w:cs="Arial"/>
          <w:color w:val="231F20"/>
          <w:lang w:val="en-US"/>
        </w:rPr>
        <w:t>ing in</w:t>
      </w:r>
      <w:r w:rsidR="00FC17A6" w:rsidRPr="00C83A12">
        <w:rPr>
          <w:rFonts w:eastAsia="Times New Roman" w:cs="Arial"/>
          <w:color w:val="231F20"/>
          <w:lang w:val="en-US"/>
        </w:rPr>
        <w:t xml:space="preserve"> royalties flowing back to Australian copyright owners and investors. </w:t>
      </w:r>
    </w:p>
    <w:p w14:paraId="1C9BC4AB" w14:textId="77777777" w:rsidR="004131E1" w:rsidRPr="00C83A12" w:rsidRDefault="004131E1" w:rsidP="004131E1">
      <w:pPr>
        <w:autoSpaceDE w:val="0"/>
        <w:autoSpaceDN w:val="0"/>
        <w:adjustRightInd w:val="0"/>
        <w:spacing w:line="300" w:lineRule="exact"/>
        <w:rPr>
          <w:rFonts w:eastAsia="Times New Roman" w:cs="Arial"/>
          <w:color w:val="231F20"/>
          <w:lang w:val="en-US"/>
        </w:rPr>
      </w:pPr>
    </w:p>
    <w:p w14:paraId="52F6F7DC" w14:textId="2DF8AAE9" w:rsidR="00235527" w:rsidRPr="00C83A12" w:rsidRDefault="00235527" w:rsidP="004131E1">
      <w:pPr>
        <w:pStyle w:val="ListParagraph"/>
        <w:numPr>
          <w:ilvl w:val="0"/>
          <w:numId w:val="32"/>
        </w:numPr>
        <w:autoSpaceDE w:val="0"/>
        <w:autoSpaceDN w:val="0"/>
        <w:adjustRightInd w:val="0"/>
        <w:spacing w:line="300" w:lineRule="exact"/>
        <w:ind w:left="426" w:hanging="426"/>
        <w:rPr>
          <w:rFonts w:eastAsia="Times New Roman" w:cs="Arial"/>
          <w:b/>
          <w:color w:val="CB1543"/>
          <w:lang w:val="en-US"/>
        </w:rPr>
      </w:pPr>
      <w:r w:rsidRPr="00C83A12">
        <w:rPr>
          <w:rFonts w:eastAsia="Times New Roman" w:cs="Arial"/>
          <w:b/>
          <w:color w:val="CB1543"/>
          <w:lang w:val="en-US"/>
        </w:rPr>
        <w:t>AUSTRALIA COUNCIL FUNDING</w:t>
      </w:r>
    </w:p>
    <w:p w14:paraId="2364E37E" w14:textId="77777777" w:rsidR="00AF321F" w:rsidRPr="00C83A12" w:rsidRDefault="00AF321F" w:rsidP="004131E1">
      <w:pPr>
        <w:autoSpaceDE w:val="0"/>
        <w:autoSpaceDN w:val="0"/>
        <w:adjustRightInd w:val="0"/>
        <w:spacing w:line="300" w:lineRule="exact"/>
        <w:rPr>
          <w:rFonts w:eastAsia="Times New Roman" w:cs="Arial"/>
          <w:b/>
          <w:color w:val="231F20"/>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AF321F" w:rsidRPr="00C83A12" w14:paraId="053004D8" w14:textId="77777777" w:rsidTr="00D656FD">
        <w:tc>
          <w:tcPr>
            <w:tcW w:w="8789" w:type="dxa"/>
            <w:shd w:val="clear" w:color="auto" w:fill="D9D9D9" w:themeFill="background1" w:themeFillShade="D9"/>
          </w:tcPr>
          <w:p w14:paraId="70781623" w14:textId="77777777" w:rsidR="00AF321F" w:rsidRPr="00C83A12" w:rsidRDefault="00AF321F" w:rsidP="004131E1">
            <w:pPr>
              <w:autoSpaceDE w:val="0"/>
              <w:autoSpaceDN w:val="0"/>
              <w:adjustRightInd w:val="0"/>
              <w:spacing w:before="120" w:line="300" w:lineRule="exact"/>
              <w:rPr>
                <w:rFonts w:eastAsia="Times New Roman" w:cs="Arial"/>
                <w:b/>
                <w:color w:val="231F20"/>
                <w:lang w:val="en-US"/>
              </w:rPr>
            </w:pPr>
            <w:r w:rsidRPr="00C83A12">
              <w:rPr>
                <w:rFonts w:eastAsia="Times New Roman" w:cs="Arial"/>
                <w:b/>
                <w:color w:val="231F20"/>
                <w:lang w:val="en-US"/>
              </w:rPr>
              <w:t xml:space="preserve">Budget request 3: </w:t>
            </w:r>
          </w:p>
          <w:p w14:paraId="49F633DA" w14:textId="77777777" w:rsidR="00AF321F" w:rsidRPr="00C83A12" w:rsidRDefault="00AF321F" w:rsidP="004131E1">
            <w:pPr>
              <w:autoSpaceDE w:val="0"/>
              <w:autoSpaceDN w:val="0"/>
              <w:adjustRightInd w:val="0"/>
              <w:spacing w:after="120" w:line="300" w:lineRule="exact"/>
              <w:rPr>
                <w:rFonts w:eastAsia="Times New Roman" w:cs="Arial"/>
                <w:b/>
                <w:color w:val="231F20"/>
                <w:lang w:val="en-US"/>
              </w:rPr>
            </w:pPr>
            <w:r w:rsidRPr="00C83A12">
              <w:rPr>
                <w:rFonts w:eastAsia="Times New Roman" w:cs="Arial"/>
                <w:color w:val="231F20"/>
                <w:lang w:val="en-US"/>
              </w:rPr>
              <w:t xml:space="preserve">Return the funding cut of $72.8 million over four years to the Australia Council </w:t>
            </w:r>
          </w:p>
        </w:tc>
      </w:tr>
    </w:tbl>
    <w:p w14:paraId="1E36935C" w14:textId="77777777" w:rsidR="00AF321F" w:rsidRPr="00C83A12" w:rsidRDefault="00AF321F" w:rsidP="004131E1">
      <w:pPr>
        <w:autoSpaceDE w:val="0"/>
        <w:autoSpaceDN w:val="0"/>
        <w:adjustRightInd w:val="0"/>
        <w:spacing w:line="300" w:lineRule="exact"/>
        <w:rPr>
          <w:rFonts w:eastAsia="Times New Roman" w:cs="Arial"/>
          <w:b/>
          <w:color w:val="231F20"/>
          <w:lang w:val="en-US"/>
        </w:rPr>
      </w:pPr>
    </w:p>
    <w:p w14:paraId="2886658E" w14:textId="77777777" w:rsidR="00B8478B" w:rsidRDefault="00235527"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The 2015-16 Budget announced a </w:t>
      </w:r>
      <w:r w:rsidR="00CA1619" w:rsidRPr="00C83A12">
        <w:rPr>
          <w:rFonts w:eastAsia="Times New Roman" w:cs="Arial"/>
          <w:color w:val="231F20"/>
          <w:lang w:val="en-US"/>
        </w:rPr>
        <w:t xml:space="preserve">$104.8 million reduction to the Australia Council’s budget. Some funding ($32 million) has subsequently been returned to the Australia Council, however a significant shortfall remains. </w:t>
      </w:r>
    </w:p>
    <w:p w14:paraId="6ADBC426" w14:textId="77777777" w:rsidR="00B8478B" w:rsidRDefault="00B8478B" w:rsidP="004131E1">
      <w:pPr>
        <w:autoSpaceDE w:val="0"/>
        <w:autoSpaceDN w:val="0"/>
        <w:adjustRightInd w:val="0"/>
        <w:spacing w:line="300" w:lineRule="exact"/>
        <w:rPr>
          <w:rFonts w:eastAsia="Times New Roman" w:cs="Arial"/>
          <w:color w:val="231F20"/>
          <w:lang w:val="en-US"/>
        </w:rPr>
      </w:pPr>
    </w:p>
    <w:p w14:paraId="0C00D96C" w14:textId="5AE81F20" w:rsidR="00B8478B" w:rsidRDefault="00B8478B"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 xml:space="preserve">In August 2014, the Australia Council launched its </w:t>
      </w:r>
      <w:r w:rsidRPr="00093264">
        <w:rPr>
          <w:rFonts w:eastAsia="Times New Roman" w:cs="Arial"/>
          <w:i/>
          <w:color w:val="231F20"/>
          <w:lang w:val="en-US"/>
        </w:rPr>
        <w:t>Strategic Plan 2014-2019</w:t>
      </w:r>
      <w:r>
        <w:rPr>
          <w:rFonts w:eastAsia="Times New Roman" w:cs="Arial"/>
          <w:color w:val="231F20"/>
          <w:lang w:val="en-US"/>
        </w:rPr>
        <w:t xml:space="preserve"> to make Australia ‘a culturally ambitious nation’. However, Australia risks becoming a culturally insipid nation without adequate resources provided to the Australia Council to deliver on this government-endorsed Strategic Plan. </w:t>
      </w:r>
    </w:p>
    <w:p w14:paraId="4A9FF19A" w14:textId="77777777" w:rsidR="00093264" w:rsidRDefault="00093264" w:rsidP="004131E1">
      <w:pPr>
        <w:autoSpaceDE w:val="0"/>
        <w:autoSpaceDN w:val="0"/>
        <w:adjustRightInd w:val="0"/>
        <w:spacing w:line="300" w:lineRule="exact"/>
        <w:rPr>
          <w:rFonts w:eastAsia="Times New Roman" w:cs="Arial"/>
          <w:color w:val="231F20"/>
          <w:lang w:val="en-US"/>
        </w:rPr>
      </w:pPr>
    </w:p>
    <w:p w14:paraId="3A31547F" w14:textId="3BD4FC27" w:rsidR="00BF1669" w:rsidRDefault="00CA1619"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lastRenderedPageBreak/>
        <w:t xml:space="preserve">The funding cut has </w:t>
      </w:r>
      <w:r w:rsidR="00093264">
        <w:rPr>
          <w:rFonts w:eastAsia="Times New Roman" w:cs="Arial"/>
          <w:color w:val="231F20"/>
          <w:lang w:val="en-US"/>
        </w:rPr>
        <w:t xml:space="preserve">also </w:t>
      </w:r>
      <w:proofErr w:type="spellStart"/>
      <w:r w:rsidRPr="00C83A12">
        <w:rPr>
          <w:rFonts w:eastAsia="Times New Roman" w:cs="Arial"/>
          <w:color w:val="231F20"/>
          <w:lang w:val="en-US"/>
        </w:rPr>
        <w:t>jeopardised</w:t>
      </w:r>
      <w:proofErr w:type="spellEnd"/>
      <w:r w:rsidRPr="00C83A12">
        <w:rPr>
          <w:rFonts w:eastAsia="Times New Roman" w:cs="Arial"/>
          <w:color w:val="231F20"/>
          <w:lang w:val="en-US"/>
        </w:rPr>
        <w:t xml:space="preserve"> the long term stability of </w:t>
      </w:r>
      <w:r w:rsidR="006B62EF" w:rsidRPr="00C83A12">
        <w:rPr>
          <w:rFonts w:eastAsia="Times New Roman" w:cs="Arial"/>
          <w:color w:val="231F20"/>
          <w:lang w:val="en-US"/>
        </w:rPr>
        <w:t>th</w:t>
      </w:r>
      <w:r w:rsidR="00DD5AD1" w:rsidRPr="00C83A12">
        <w:rPr>
          <w:rFonts w:eastAsia="Times New Roman" w:cs="Arial"/>
          <w:color w:val="231F20"/>
          <w:lang w:val="en-US"/>
        </w:rPr>
        <w:t>e arts sector, in particular</w:t>
      </w:r>
      <w:r w:rsidR="006B62EF" w:rsidRPr="00C83A12">
        <w:rPr>
          <w:rFonts w:eastAsia="Times New Roman" w:cs="Arial"/>
          <w:color w:val="231F20"/>
          <w:lang w:val="en-US"/>
        </w:rPr>
        <w:t xml:space="preserve"> small to medium companies. </w:t>
      </w:r>
      <w:r w:rsidR="008D1D7A" w:rsidRPr="00C83A12">
        <w:rPr>
          <w:rFonts w:eastAsia="Times New Roman" w:cs="Arial"/>
          <w:color w:val="231F20"/>
          <w:lang w:val="en-US"/>
        </w:rPr>
        <w:t>S</w:t>
      </w:r>
      <w:r w:rsidR="00BF1669" w:rsidRPr="00C83A12">
        <w:rPr>
          <w:rFonts w:eastAsia="Times New Roman" w:cs="Arial"/>
          <w:color w:val="231F20"/>
          <w:lang w:val="en-US"/>
        </w:rPr>
        <w:t xml:space="preserve">mall to medium companies are the lifeblood of the arts sector. </w:t>
      </w:r>
      <w:r w:rsidR="004D0459" w:rsidRPr="00C83A12">
        <w:rPr>
          <w:rFonts w:eastAsia="Times New Roman" w:cs="Arial"/>
          <w:color w:val="231F20"/>
          <w:lang w:val="en-US"/>
        </w:rPr>
        <w:t xml:space="preserve">The Australia Council funding cuts have meant that the multi-year </w:t>
      </w:r>
      <w:proofErr w:type="spellStart"/>
      <w:r w:rsidR="004D0459" w:rsidRPr="00C83A12">
        <w:rPr>
          <w:rFonts w:eastAsia="Times New Roman" w:cs="Arial"/>
          <w:color w:val="231F20"/>
          <w:lang w:val="en-US"/>
        </w:rPr>
        <w:t>organisational</w:t>
      </w:r>
      <w:proofErr w:type="spellEnd"/>
      <w:r w:rsidR="004D0459" w:rsidRPr="00C83A12">
        <w:rPr>
          <w:rFonts w:eastAsia="Times New Roman" w:cs="Arial"/>
          <w:color w:val="231F20"/>
          <w:lang w:val="en-US"/>
        </w:rPr>
        <w:t xml:space="preserve"> funding program for small to medium arts companies was reduced from six to four years. </w:t>
      </w:r>
      <w:proofErr w:type="spellStart"/>
      <w:r w:rsidR="00C23B2E" w:rsidRPr="00C83A12">
        <w:rPr>
          <w:rFonts w:eastAsia="Times New Roman" w:cs="Arial"/>
          <w:color w:val="231F20"/>
          <w:lang w:val="en-US"/>
        </w:rPr>
        <w:t>Organi</w:t>
      </w:r>
      <w:r w:rsidR="0093657D" w:rsidRPr="00C83A12">
        <w:rPr>
          <w:rFonts w:eastAsia="Times New Roman" w:cs="Arial"/>
          <w:color w:val="231F20"/>
          <w:lang w:val="en-US"/>
        </w:rPr>
        <w:t>s</w:t>
      </w:r>
      <w:r w:rsidR="00C23B2E" w:rsidRPr="00C83A12">
        <w:rPr>
          <w:rFonts w:eastAsia="Times New Roman" w:cs="Arial"/>
          <w:color w:val="231F20"/>
          <w:lang w:val="en-US"/>
        </w:rPr>
        <w:t>a</w:t>
      </w:r>
      <w:r w:rsidR="0093657D" w:rsidRPr="00C83A12">
        <w:rPr>
          <w:rFonts w:eastAsia="Times New Roman" w:cs="Arial"/>
          <w:color w:val="231F20"/>
          <w:lang w:val="en-US"/>
        </w:rPr>
        <w:t>tional</w:t>
      </w:r>
      <w:proofErr w:type="spellEnd"/>
      <w:r w:rsidR="0093657D" w:rsidRPr="00C83A12">
        <w:rPr>
          <w:rFonts w:eastAsia="Times New Roman" w:cs="Arial"/>
          <w:color w:val="231F20"/>
          <w:lang w:val="en-US"/>
        </w:rPr>
        <w:t xml:space="preserve"> funding </w:t>
      </w:r>
      <w:r w:rsidR="008D1D7A" w:rsidRPr="00C83A12">
        <w:rPr>
          <w:rFonts w:eastAsia="Times New Roman" w:cs="Arial"/>
          <w:color w:val="231F20"/>
          <w:lang w:val="en-US"/>
        </w:rPr>
        <w:t xml:space="preserve">provides stability </w:t>
      </w:r>
      <w:r w:rsidR="0093657D" w:rsidRPr="00C83A12">
        <w:rPr>
          <w:rFonts w:eastAsia="Times New Roman" w:cs="Arial"/>
          <w:color w:val="231F20"/>
          <w:lang w:val="en-US"/>
        </w:rPr>
        <w:t>allow</w:t>
      </w:r>
      <w:r w:rsidR="008D1D7A" w:rsidRPr="00C83A12">
        <w:rPr>
          <w:rFonts w:eastAsia="Times New Roman" w:cs="Arial"/>
          <w:color w:val="231F20"/>
          <w:lang w:val="en-US"/>
        </w:rPr>
        <w:t>ing</w:t>
      </w:r>
      <w:r w:rsidR="0093657D" w:rsidRPr="00C83A12">
        <w:rPr>
          <w:rFonts w:eastAsia="Times New Roman" w:cs="Arial"/>
          <w:color w:val="231F20"/>
          <w:lang w:val="en-US"/>
        </w:rPr>
        <w:t xml:space="preserve"> companies to focus on</w:t>
      </w:r>
      <w:r w:rsidR="00703347">
        <w:rPr>
          <w:rFonts w:eastAsia="Times New Roman" w:cs="Arial"/>
          <w:color w:val="231F20"/>
          <w:lang w:val="en-US"/>
        </w:rPr>
        <w:t xml:space="preserve"> long term business planning and </w:t>
      </w:r>
      <w:r w:rsidR="0093657D" w:rsidRPr="00C83A12">
        <w:rPr>
          <w:rFonts w:eastAsia="Times New Roman" w:cs="Arial"/>
          <w:color w:val="231F20"/>
          <w:lang w:val="en-US"/>
        </w:rPr>
        <w:t>artistic and creative excellence</w:t>
      </w:r>
      <w:r w:rsidR="008D1D7A" w:rsidRPr="00C83A12">
        <w:rPr>
          <w:rFonts w:eastAsia="Times New Roman" w:cs="Arial"/>
          <w:color w:val="231F20"/>
          <w:lang w:val="en-US"/>
        </w:rPr>
        <w:t>.</w:t>
      </w:r>
    </w:p>
    <w:p w14:paraId="2D76796F" w14:textId="77777777" w:rsidR="001D01F8" w:rsidRDefault="001D01F8" w:rsidP="004131E1">
      <w:pPr>
        <w:autoSpaceDE w:val="0"/>
        <w:autoSpaceDN w:val="0"/>
        <w:adjustRightInd w:val="0"/>
        <w:spacing w:line="300" w:lineRule="exact"/>
        <w:rPr>
          <w:rFonts w:eastAsia="Times New Roman" w:cs="Arial"/>
          <w:color w:val="231F20"/>
          <w:lang w:val="en-US"/>
        </w:rPr>
      </w:pPr>
    </w:p>
    <w:p w14:paraId="351D72D0" w14:textId="2A6BEFE7" w:rsidR="001D01F8" w:rsidRDefault="001D01F8"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 xml:space="preserve">The restoration of funding to the Australia Council was a </w:t>
      </w:r>
      <w:r w:rsidR="00703347">
        <w:rPr>
          <w:rFonts w:eastAsia="Times New Roman" w:cs="Arial"/>
          <w:color w:val="231F20"/>
          <w:lang w:val="en-US"/>
        </w:rPr>
        <w:t>significant focus of</w:t>
      </w:r>
      <w:r>
        <w:rPr>
          <w:rFonts w:eastAsia="Times New Roman" w:cs="Arial"/>
          <w:color w:val="231F20"/>
          <w:lang w:val="en-US"/>
        </w:rPr>
        <w:t xml:space="preserve"> the live performance industry during the 2016 federal election, and attracted substantial industry and community support.</w:t>
      </w:r>
    </w:p>
    <w:p w14:paraId="2EA650E6" w14:textId="77777777" w:rsidR="00AF321F" w:rsidRPr="00C83A12" w:rsidRDefault="00AF321F" w:rsidP="004131E1">
      <w:pPr>
        <w:autoSpaceDE w:val="0"/>
        <w:autoSpaceDN w:val="0"/>
        <w:adjustRightInd w:val="0"/>
        <w:spacing w:line="300" w:lineRule="exact"/>
        <w:rPr>
          <w:rFonts w:eastAsia="Times New Roman" w:cs="Arial"/>
          <w:color w:val="231F20"/>
          <w:lang w:val="en-US"/>
        </w:rPr>
      </w:pPr>
    </w:p>
    <w:p w14:paraId="34FA3A1F" w14:textId="0A023E5F" w:rsidR="003F1A66" w:rsidRPr="00C83A12" w:rsidRDefault="00DD5AD1" w:rsidP="004131E1">
      <w:pPr>
        <w:pStyle w:val="ListParagraph"/>
        <w:numPr>
          <w:ilvl w:val="0"/>
          <w:numId w:val="32"/>
        </w:numPr>
        <w:autoSpaceDE w:val="0"/>
        <w:autoSpaceDN w:val="0"/>
        <w:adjustRightInd w:val="0"/>
        <w:spacing w:line="300" w:lineRule="exact"/>
        <w:ind w:left="426" w:hanging="426"/>
        <w:rPr>
          <w:rFonts w:eastAsia="Times New Roman" w:cs="Arial"/>
          <w:b/>
          <w:color w:val="CB1543"/>
          <w:lang w:val="en-US"/>
        </w:rPr>
      </w:pPr>
      <w:r w:rsidRPr="00C83A12">
        <w:rPr>
          <w:rFonts w:eastAsia="Times New Roman" w:cs="Arial"/>
          <w:b/>
          <w:color w:val="CB1543"/>
          <w:lang w:val="en-US"/>
        </w:rPr>
        <w:t>INTERNATIONAL TOURING</w:t>
      </w:r>
    </w:p>
    <w:p w14:paraId="45C301F1" w14:textId="77777777" w:rsidR="00AF321F" w:rsidRPr="00C83A12" w:rsidRDefault="00AF321F" w:rsidP="004131E1">
      <w:pPr>
        <w:autoSpaceDE w:val="0"/>
        <w:autoSpaceDN w:val="0"/>
        <w:adjustRightInd w:val="0"/>
        <w:spacing w:line="300" w:lineRule="exact"/>
        <w:rPr>
          <w:rFonts w:eastAsia="Times New Roman" w:cs="Arial"/>
          <w:b/>
          <w:color w:val="231F20"/>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AF321F" w:rsidRPr="00C83A12" w14:paraId="69AE314D" w14:textId="77777777" w:rsidTr="00D656FD">
        <w:tc>
          <w:tcPr>
            <w:tcW w:w="8789" w:type="dxa"/>
            <w:shd w:val="clear" w:color="auto" w:fill="D9D9D9" w:themeFill="background1" w:themeFillShade="D9"/>
          </w:tcPr>
          <w:p w14:paraId="652E6386" w14:textId="4CC96C61" w:rsidR="00AF321F" w:rsidRPr="00C83A12" w:rsidRDefault="00AF321F" w:rsidP="004131E1">
            <w:pPr>
              <w:autoSpaceDE w:val="0"/>
              <w:autoSpaceDN w:val="0"/>
              <w:adjustRightInd w:val="0"/>
              <w:spacing w:before="120" w:line="300" w:lineRule="exact"/>
              <w:rPr>
                <w:rFonts w:eastAsia="Times New Roman" w:cs="Arial"/>
                <w:b/>
                <w:color w:val="231F20"/>
                <w:lang w:val="en-US"/>
              </w:rPr>
            </w:pPr>
            <w:r w:rsidRPr="00C83A12">
              <w:rPr>
                <w:rFonts w:eastAsia="Times New Roman" w:cs="Arial"/>
                <w:b/>
                <w:color w:val="231F20"/>
                <w:lang w:val="en-US"/>
              </w:rPr>
              <w:t xml:space="preserve">Budget request 4: </w:t>
            </w:r>
          </w:p>
          <w:p w14:paraId="3FACF7E0" w14:textId="60C46886" w:rsidR="00AF321F" w:rsidRPr="00C83A12" w:rsidRDefault="007255FA" w:rsidP="004131E1">
            <w:pPr>
              <w:tabs>
                <w:tab w:val="left" w:pos="6870"/>
              </w:tabs>
              <w:autoSpaceDE w:val="0"/>
              <w:autoSpaceDN w:val="0"/>
              <w:adjustRightInd w:val="0"/>
              <w:spacing w:after="120" w:line="300" w:lineRule="exact"/>
              <w:rPr>
                <w:rFonts w:eastAsia="Times New Roman" w:cs="Arial"/>
                <w:b/>
                <w:color w:val="231F20"/>
                <w:lang w:val="en-US"/>
              </w:rPr>
            </w:pPr>
            <w:r w:rsidRPr="00C83A12">
              <w:rPr>
                <w:rFonts w:eastAsia="Times New Roman" w:cs="Arial"/>
                <w:color w:val="231F20"/>
                <w:lang w:val="en-US"/>
              </w:rPr>
              <w:t xml:space="preserve">Provide </w:t>
            </w:r>
            <w:r w:rsidR="00AF321F" w:rsidRPr="00C83A12">
              <w:rPr>
                <w:rFonts w:eastAsia="Times New Roman" w:cs="Arial"/>
                <w:color w:val="231F20"/>
                <w:lang w:val="en-US"/>
              </w:rPr>
              <w:t>an additional $5 million over four years</w:t>
            </w:r>
            <w:r w:rsidRPr="00C83A12">
              <w:rPr>
                <w:rFonts w:eastAsia="Times New Roman" w:cs="Arial"/>
                <w:color w:val="231F20"/>
                <w:lang w:val="en-US"/>
              </w:rPr>
              <w:t xml:space="preserve"> for international touring of Australian productions</w:t>
            </w:r>
          </w:p>
        </w:tc>
      </w:tr>
    </w:tbl>
    <w:p w14:paraId="5AA64A83" w14:textId="77777777" w:rsidR="00AF321F" w:rsidRPr="00C83A12" w:rsidRDefault="00AF321F" w:rsidP="004131E1">
      <w:pPr>
        <w:autoSpaceDE w:val="0"/>
        <w:autoSpaceDN w:val="0"/>
        <w:adjustRightInd w:val="0"/>
        <w:spacing w:line="300" w:lineRule="exact"/>
        <w:rPr>
          <w:rFonts w:eastAsia="Times New Roman" w:cs="Arial"/>
          <w:b/>
          <w:color w:val="231F20"/>
          <w:lang w:val="en-US"/>
        </w:rPr>
      </w:pPr>
    </w:p>
    <w:p w14:paraId="37BC4B11" w14:textId="7F4C78FB" w:rsidR="00DD5AD1" w:rsidRPr="00C83A12" w:rsidRDefault="00C534DA"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Showcasing Australian productions on</w:t>
      </w:r>
      <w:r w:rsidR="004B259D">
        <w:rPr>
          <w:rFonts w:eastAsia="Times New Roman" w:cs="Arial"/>
          <w:color w:val="231F20"/>
          <w:lang w:val="en-US"/>
        </w:rPr>
        <w:t xml:space="preserve"> the world stage helps to build</w:t>
      </w:r>
      <w:r>
        <w:rPr>
          <w:rFonts w:eastAsia="Times New Roman" w:cs="Arial"/>
          <w:color w:val="231F20"/>
          <w:lang w:val="en-US"/>
        </w:rPr>
        <w:t xml:space="preserve"> new audiences</w:t>
      </w:r>
      <w:r w:rsidR="001D01F8">
        <w:rPr>
          <w:rFonts w:eastAsia="Times New Roman" w:cs="Arial"/>
          <w:color w:val="231F20"/>
          <w:lang w:val="en-US"/>
        </w:rPr>
        <w:t xml:space="preserve"> for Australian creative talent</w:t>
      </w:r>
      <w:r w:rsidR="0070155E">
        <w:rPr>
          <w:rFonts w:eastAsia="Times New Roman" w:cs="Arial"/>
          <w:color w:val="231F20"/>
          <w:lang w:val="en-US"/>
        </w:rPr>
        <w:t>, strengthen Australia’s brand as a creative nation</w:t>
      </w:r>
      <w:r>
        <w:rPr>
          <w:rFonts w:eastAsia="Times New Roman" w:cs="Arial"/>
          <w:color w:val="231F20"/>
          <w:lang w:val="en-US"/>
        </w:rPr>
        <w:t xml:space="preserve"> and boost inbound tourism. It also plays </w:t>
      </w:r>
      <w:r w:rsidR="004B259D">
        <w:rPr>
          <w:rFonts w:eastAsia="Times New Roman" w:cs="Arial"/>
          <w:color w:val="231F20"/>
          <w:lang w:val="en-US"/>
        </w:rPr>
        <w:t>a</w:t>
      </w:r>
      <w:r>
        <w:rPr>
          <w:rFonts w:eastAsia="Times New Roman" w:cs="Arial"/>
          <w:color w:val="231F20"/>
          <w:lang w:val="en-US"/>
        </w:rPr>
        <w:t xml:space="preserve"> </w:t>
      </w:r>
      <w:r w:rsidR="001D01F8">
        <w:rPr>
          <w:rFonts w:eastAsia="Times New Roman" w:cs="Arial"/>
          <w:color w:val="231F20"/>
          <w:lang w:val="en-US"/>
        </w:rPr>
        <w:t>significant</w:t>
      </w:r>
      <w:r>
        <w:rPr>
          <w:rFonts w:eastAsia="Times New Roman" w:cs="Arial"/>
          <w:color w:val="231F20"/>
          <w:lang w:val="en-US"/>
        </w:rPr>
        <w:t xml:space="preserve"> role in cultural diplomacy, allowing us to </w:t>
      </w:r>
      <w:r w:rsidRPr="00C83A12">
        <w:rPr>
          <w:rFonts w:eastAsia="Times New Roman" w:cs="Arial"/>
          <w:color w:val="231F20"/>
          <w:lang w:val="en-US"/>
        </w:rPr>
        <w:t>build stronger connections with other countries and cultures</w:t>
      </w:r>
      <w:r>
        <w:rPr>
          <w:rFonts w:eastAsia="Times New Roman" w:cs="Arial"/>
          <w:color w:val="231F20"/>
          <w:lang w:val="en-US"/>
        </w:rPr>
        <w:t>, and</w:t>
      </w:r>
      <w:r w:rsidRPr="00C83A12">
        <w:rPr>
          <w:rFonts w:eastAsia="Times New Roman" w:cs="Arial"/>
          <w:color w:val="231F20"/>
          <w:lang w:val="en-US"/>
        </w:rPr>
        <w:t xml:space="preserve"> improve international relations</w:t>
      </w:r>
      <w:r>
        <w:rPr>
          <w:rFonts w:eastAsia="Times New Roman" w:cs="Arial"/>
          <w:color w:val="231F20"/>
          <w:lang w:val="en-US"/>
        </w:rPr>
        <w:t xml:space="preserve">. For Australian creatives, performers and technicians, international touring </w:t>
      </w:r>
      <w:r w:rsidR="008D1D7A" w:rsidRPr="00C83A12">
        <w:rPr>
          <w:rFonts w:eastAsia="Times New Roman" w:cs="Arial"/>
          <w:color w:val="231F20"/>
          <w:lang w:val="en-US"/>
        </w:rPr>
        <w:t>provides</w:t>
      </w:r>
      <w:r w:rsidR="00832611" w:rsidRPr="00C83A12">
        <w:rPr>
          <w:rFonts w:eastAsia="Times New Roman" w:cs="Arial"/>
          <w:color w:val="231F20"/>
          <w:lang w:val="en-US"/>
        </w:rPr>
        <w:t xml:space="preserve"> </w:t>
      </w:r>
      <w:r>
        <w:rPr>
          <w:rFonts w:eastAsia="Times New Roman" w:cs="Arial"/>
          <w:color w:val="231F20"/>
          <w:lang w:val="en-US"/>
        </w:rPr>
        <w:t>them</w:t>
      </w:r>
      <w:r w:rsidR="00832611" w:rsidRPr="00C83A12">
        <w:rPr>
          <w:rFonts w:eastAsia="Times New Roman" w:cs="Arial"/>
          <w:color w:val="231F20"/>
          <w:lang w:val="en-US"/>
        </w:rPr>
        <w:t xml:space="preserve"> </w:t>
      </w:r>
      <w:r w:rsidR="008D1D7A" w:rsidRPr="00C83A12">
        <w:rPr>
          <w:rFonts w:eastAsia="Times New Roman" w:cs="Arial"/>
          <w:color w:val="231F20"/>
          <w:lang w:val="en-US"/>
        </w:rPr>
        <w:t>with</w:t>
      </w:r>
      <w:r w:rsidR="00832611" w:rsidRPr="00C83A12">
        <w:rPr>
          <w:rFonts w:eastAsia="Times New Roman" w:cs="Arial"/>
          <w:color w:val="231F20"/>
          <w:lang w:val="en-US"/>
        </w:rPr>
        <w:t xml:space="preserve"> new and chall</w:t>
      </w:r>
      <w:r w:rsidR="008D1D7A" w:rsidRPr="00C83A12">
        <w:rPr>
          <w:rFonts w:eastAsia="Times New Roman" w:cs="Arial"/>
          <w:color w:val="231F20"/>
          <w:lang w:val="en-US"/>
        </w:rPr>
        <w:t>enging professional experiences</w:t>
      </w:r>
      <w:r w:rsidR="00703347">
        <w:rPr>
          <w:rFonts w:eastAsia="Times New Roman" w:cs="Arial"/>
          <w:color w:val="231F20"/>
          <w:lang w:val="en-US"/>
        </w:rPr>
        <w:t xml:space="preserve">, which they can then </w:t>
      </w:r>
      <w:proofErr w:type="spellStart"/>
      <w:r w:rsidR="00703347">
        <w:rPr>
          <w:rFonts w:eastAsia="Times New Roman" w:cs="Arial"/>
          <w:color w:val="231F20"/>
          <w:lang w:val="en-US"/>
        </w:rPr>
        <w:t>feed back</w:t>
      </w:r>
      <w:proofErr w:type="spellEnd"/>
      <w:r w:rsidR="00703347">
        <w:rPr>
          <w:rFonts w:eastAsia="Times New Roman" w:cs="Arial"/>
          <w:color w:val="231F20"/>
          <w:lang w:val="en-US"/>
        </w:rPr>
        <w:t xml:space="preserve"> in</w:t>
      </w:r>
      <w:r w:rsidR="0070155E">
        <w:rPr>
          <w:rFonts w:eastAsia="Times New Roman" w:cs="Arial"/>
          <w:color w:val="231F20"/>
          <w:lang w:val="en-US"/>
        </w:rPr>
        <w:t>to</w:t>
      </w:r>
      <w:r w:rsidR="00703347">
        <w:rPr>
          <w:rFonts w:eastAsia="Times New Roman" w:cs="Arial"/>
          <w:color w:val="231F20"/>
          <w:lang w:val="en-US"/>
        </w:rPr>
        <w:t xml:space="preserve"> the industry on return</w:t>
      </w:r>
      <w:r w:rsidR="008D1D7A" w:rsidRPr="00C83A12">
        <w:rPr>
          <w:rFonts w:eastAsia="Times New Roman" w:cs="Arial"/>
          <w:color w:val="231F20"/>
          <w:lang w:val="en-US"/>
        </w:rPr>
        <w:t>.</w:t>
      </w:r>
      <w:r w:rsidR="001D2282" w:rsidRPr="00C83A12">
        <w:rPr>
          <w:rFonts w:eastAsia="Times New Roman" w:cs="Arial"/>
          <w:color w:val="231F20"/>
          <w:lang w:val="en-US"/>
        </w:rPr>
        <w:t xml:space="preserve"> </w:t>
      </w:r>
    </w:p>
    <w:p w14:paraId="5087EFFC" w14:textId="77777777" w:rsidR="0011549D" w:rsidRPr="00C83A12" w:rsidRDefault="0011549D" w:rsidP="004131E1">
      <w:pPr>
        <w:autoSpaceDE w:val="0"/>
        <w:autoSpaceDN w:val="0"/>
        <w:adjustRightInd w:val="0"/>
        <w:spacing w:line="300" w:lineRule="exact"/>
        <w:rPr>
          <w:rFonts w:eastAsia="Times New Roman" w:cs="Arial"/>
          <w:color w:val="231F20"/>
          <w:lang w:val="en-US"/>
        </w:rPr>
      </w:pPr>
    </w:p>
    <w:p w14:paraId="696A1B92" w14:textId="16C1A342" w:rsidR="0011549D" w:rsidRPr="00C83A12" w:rsidRDefault="00743850"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The costs to tour productions internationally are expensive. </w:t>
      </w:r>
      <w:r w:rsidR="00D12DB0" w:rsidRPr="00C83A12">
        <w:rPr>
          <w:rFonts w:eastAsia="Times New Roman" w:cs="Arial"/>
          <w:color w:val="231F20"/>
          <w:lang w:val="en-US"/>
        </w:rPr>
        <w:t>While the Australian Cultural Diplomacy Grants Program exists to support Australian arts and culture being showcased, the current level of funding (ap</w:t>
      </w:r>
      <w:r w:rsidR="00725FDA" w:rsidRPr="00C83A12">
        <w:rPr>
          <w:rFonts w:eastAsia="Times New Roman" w:cs="Arial"/>
          <w:color w:val="231F20"/>
          <w:lang w:val="en-US"/>
        </w:rPr>
        <w:t>proximately $500,000 per annum)</w:t>
      </w:r>
      <w:r w:rsidR="00103E69" w:rsidRPr="00C83A12">
        <w:rPr>
          <w:rFonts w:eastAsia="Times New Roman" w:cs="Arial"/>
          <w:color w:val="231F20"/>
          <w:lang w:val="en-US"/>
        </w:rPr>
        <w:t xml:space="preserve"> </w:t>
      </w:r>
      <w:r w:rsidR="00725FDA" w:rsidRPr="00C83A12">
        <w:rPr>
          <w:rFonts w:eastAsia="Times New Roman" w:cs="Arial"/>
          <w:color w:val="231F20"/>
          <w:lang w:val="en-US"/>
        </w:rPr>
        <w:t>means that only a</w:t>
      </w:r>
      <w:r w:rsidR="001D01F8">
        <w:rPr>
          <w:rFonts w:eastAsia="Times New Roman" w:cs="Arial"/>
          <w:color w:val="231F20"/>
          <w:lang w:val="en-US"/>
        </w:rPr>
        <w:t xml:space="preserve"> very</w:t>
      </w:r>
      <w:r w:rsidR="00725FDA" w:rsidRPr="00C83A12">
        <w:rPr>
          <w:rFonts w:eastAsia="Times New Roman" w:cs="Arial"/>
          <w:color w:val="231F20"/>
          <w:lang w:val="en-US"/>
        </w:rPr>
        <w:t xml:space="preserve"> limited number of projects can be supported and there are missed opportunities to showcase Australia’s creative talent.</w:t>
      </w:r>
      <w:r w:rsidR="00103E69" w:rsidRPr="00C83A12">
        <w:rPr>
          <w:rFonts w:eastAsia="Times New Roman" w:cs="Arial"/>
          <w:color w:val="231F20"/>
          <w:lang w:val="en-US"/>
        </w:rPr>
        <w:t xml:space="preserve"> </w:t>
      </w:r>
      <w:r w:rsidRPr="00C83A12">
        <w:rPr>
          <w:rFonts w:eastAsia="Times New Roman" w:cs="Arial"/>
          <w:color w:val="231F20"/>
          <w:lang w:val="en-US"/>
        </w:rPr>
        <w:t>The additional funding request of $5 millio</w:t>
      </w:r>
      <w:r w:rsidR="00725FDA" w:rsidRPr="00C83A12">
        <w:rPr>
          <w:rFonts w:eastAsia="Times New Roman" w:cs="Arial"/>
          <w:color w:val="231F20"/>
          <w:lang w:val="en-US"/>
        </w:rPr>
        <w:t>n over four years would support</w:t>
      </w:r>
      <w:r w:rsidRPr="00C83A12">
        <w:rPr>
          <w:rFonts w:eastAsia="Times New Roman" w:cs="Arial"/>
          <w:color w:val="231F20"/>
          <w:lang w:val="en-US"/>
        </w:rPr>
        <w:t xml:space="preserve"> </w:t>
      </w:r>
      <w:r w:rsidR="00D12DB0" w:rsidRPr="00C83A12">
        <w:rPr>
          <w:rFonts w:eastAsia="Times New Roman" w:cs="Arial"/>
          <w:color w:val="231F20"/>
          <w:lang w:val="en-US"/>
        </w:rPr>
        <w:t xml:space="preserve">international touring </w:t>
      </w:r>
      <w:r w:rsidRPr="00C83A12">
        <w:rPr>
          <w:rFonts w:eastAsia="Times New Roman" w:cs="Arial"/>
          <w:color w:val="231F20"/>
          <w:lang w:val="en-US"/>
        </w:rPr>
        <w:t xml:space="preserve">costs such as transport, freight, international airfares and travel allowances. </w:t>
      </w:r>
      <w:r w:rsidR="00D12DB0" w:rsidRPr="00C83A12">
        <w:rPr>
          <w:rFonts w:eastAsia="Times New Roman" w:cs="Arial"/>
          <w:color w:val="231F20"/>
          <w:lang w:val="en-US"/>
        </w:rPr>
        <w:t xml:space="preserve">Funding would be open to festivals, </w:t>
      </w:r>
      <w:r w:rsidR="0070155E">
        <w:rPr>
          <w:rFonts w:eastAsia="Times New Roman" w:cs="Arial"/>
          <w:color w:val="231F20"/>
          <w:lang w:val="en-US"/>
        </w:rPr>
        <w:t xml:space="preserve">performing arts </w:t>
      </w:r>
      <w:r w:rsidR="00D12DB0" w:rsidRPr="00C83A12">
        <w:rPr>
          <w:rFonts w:eastAsia="Times New Roman" w:cs="Arial"/>
          <w:color w:val="231F20"/>
          <w:lang w:val="en-US"/>
        </w:rPr>
        <w:t>companies and commercial producers.</w:t>
      </w:r>
    </w:p>
    <w:p w14:paraId="57D6D069" w14:textId="77777777" w:rsidR="00103E69" w:rsidRPr="00C83A12" w:rsidRDefault="00103E69" w:rsidP="004131E1">
      <w:pPr>
        <w:autoSpaceDE w:val="0"/>
        <w:autoSpaceDN w:val="0"/>
        <w:adjustRightInd w:val="0"/>
        <w:spacing w:line="300" w:lineRule="exact"/>
        <w:rPr>
          <w:rFonts w:eastAsia="Times New Roman" w:cs="Arial"/>
          <w:color w:val="231F20"/>
          <w:lang w:val="en-US"/>
        </w:rPr>
      </w:pPr>
    </w:p>
    <w:p w14:paraId="3ECAED66" w14:textId="761B3A38" w:rsidR="00DD5AD1" w:rsidRPr="00C83A12" w:rsidRDefault="00643401" w:rsidP="004131E1">
      <w:pPr>
        <w:pStyle w:val="ListParagraph"/>
        <w:numPr>
          <w:ilvl w:val="0"/>
          <w:numId w:val="32"/>
        </w:numPr>
        <w:autoSpaceDE w:val="0"/>
        <w:autoSpaceDN w:val="0"/>
        <w:adjustRightInd w:val="0"/>
        <w:spacing w:line="300" w:lineRule="exact"/>
        <w:ind w:left="426" w:hanging="426"/>
        <w:rPr>
          <w:rFonts w:eastAsia="Times New Roman" w:cs="Arial"/>
          <w:b/>
          <w:color w:val="CB1543"/>
          <w:lang w:val="en-US"/>
        </w:rPr>
      </w:pPr>
      <w:r w:rsidRPr="00C83A12">
        <w:rPr>
          <w:rFonts w:eastAsia="Times New Roman" w:cs="Arial"/>
          <w:b/>
          <w:color w:val="CB1543"/>
          <w:lang w:val="en-US"/>
        </w:rPr>
        <w:t>REGIONAL TOURING</w:t>
      </w:r>
    </w:p>
    <w:p w14:paraId="6D4F5C45" w14:textId="77777777" w:rsidR="00AF321F" w:rsidRPr="00C83A12" w:rsidRDefault="00AF321F" w:rsidP="004131E1">
      <w:pPr>
        <w:pStyle w:val="ListParagraph"/>
        <w:autoSpaceDE w:val="0"/>
        <w:autoSpaceDN w:val="0"/>
        <w:adjustRightInd w:val="0"/>
        <w:spacing w:line="300" w:lineRule="exact"/>
        <w:ind w:left="0"/>
        <w:rPr>
          <w:rFonts w:eastAsia="Times New Roman" w:cs="Arial"/>
          <w:b/>
          <w:color w:val="231F20"/>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AF321F" w:rsidRPr="00C83A12" w14:paraId="4A76B6A0" w14:textId="77777777" w:rsidTr="00D656FD">
        <w:tc>
          <w:tcPr>
            <w:tcW w:w="8789" w:type="dxa"/>
            <w:shd w:val="clear" w:color="auto" w:fill="D9D9D9" w:themeFill="background1" w:themeFillShade="D9"/>
          </w:tcPr>
          <w:p w14:paraId="1893BF73" w14:textId="1E7013E6" w:rsidR="00AF321F" w:rsidRPr="00C83A12" w:rsidRDefault="00AF321F" w:rsidP="004131E1">
            <w:pPr>
              <w:autoSpaceDE w:val="0"/>
              <w:autoSpaceDN w:val="0"/>
              <w:adjustRightInd w:val="0"/>
              <w:spacing w:before="120" w:line="300" w:lineRule="exact"/>
              <w:rPr>
                <w:rFonts w:eastAsia="Times New Roman" w:cs="Arial"/>
                <w:b/>
                <w:color w:val="231F20"/>
                <w:lang w:val="en-US"/>
              </w:rPr>
            </w:pPr>
            <w:r w:rsidRPr="00C83A12">
              <w:rPr>
                <w:rFonts w:eastAsia="Times New Roman" w:cs="Arial"/>
                <w:b/>
                <w:color w:val="231F20"/>
                <w:lang w:val="en-US"/>
              </w:rPr>
              <w:t xml:space="preserve">Budget request 5: </w:t>
            </w:r>
          </w:p>
          <w:p w14:paraId="77246655" w14:textId="0C66C757" w:rsidR="00AF321F" w:rsidRPr="00C83A12" w:rsidRDefault="00372A27" w:rsidP="004131E1">
            <w:pPr>
              <w:autoSpaceDE w:val="0"/>
              <w:autoSpaceDN w:val="0"/>
              <w:adjustRightInd w:val="0"/>
              <w:spacing w:after="120" w:line="300" w:lineRule="exact"/>
              <w:rPr>
                <w:rFonts w:eastAsia="Times New Roman" w:cs="Arial"/>
                <w:b/>
                <w:color w:val="231F20"/>
                <w:lang w:val="en-US"/>
              </w:rPr>
            </w:pPr>
            <w:r w:rsidRPr="00C83A12">
              <w:rPr>
                <w:rFonts w:eastAsia="Times New Roman" w:cs="Arial"/>
                <w:color w:val="231F20"/>
                <w:lang w:val="en-US"/>
              </w:rPr>
              <w:t>Provide an additional $14 million over four years to</w:t>
            </w:r>
            <w:r w:rsidR="00AF321F" w:rsidRPr="00C83A12">
              <w:rPr>
                <w:rFonts w:eastAsia="Times New Roman" w:cs="Arial"/>
                <w:color w:val="231F20"/>
                <w:lang w:val="en-US"/>
              </w:rPr>
              <w:t xml:space="preserve"> Playing Australia</w:t>
            </w:r>
          </w:p>
        </w:tc>
      </w:tr>
    </w:tbl>
    <w:p w14:paraId="4748F9C2" w14:textId="77777777" w:rsidR="00AF321F" w:rsidRPr="00C83A12" w:rsidRDefault="00AF321F" w:rsidP="004131E1">
      <w:pPr>
        <w:autoSpaceDE w:val="0"/>
        <w:autoSpaceDN w:val="0"/>
        <w:adjustRightInd w:val="0"/>
        <w:spacing w:line="300" w:lineRule="exact"/>
        <w:rPr>
          <w:rFonts w:eastAsia="Times New Roman" w:cs="Arial"/>
          <w:color w:val="231F20"/>
          <w:lang w:val="en-US"/>
        </w:rPr>
      </w:pPr>
    </w:p>
    <w:p w14:paraId="13566756" w14:textId="586263FC" w:rsidR="00FA4DAC" w:rsidRPr="00C83A12" w:rsidRDefault="0092717B"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Australians living in regional areas deserve access to quality live productions. Unfortunately, Australia’s geographical size and the costs associated with touring (e.g. </w:t>
      </w:r>
      <w:r w:rsidR="007E1F3B" w:rsidRPr="00C83A12">
        <w:rPr>
          <w:rFonts w:eastAsia="Times New Roman" w:cs="Arial"/>
          <w:color w:val="231F20"/>
          <w:lang w:val="en-US"/>
        </w:rPr>
        <w:t xml:space="preserve">accommodation, transport, </w:t>
      </w:r>
      <w:r w:rsidRPr="00C83A12">
        <w:rPr>
          <w:rFonts w:eastAsia="Times New Roman" w:cs="Arial"/>
          <w:color w:val="231F20"/>
          <w:lang w:val="en-US"/>
        </w:rPr>
        <w:t xml:space="preserve">freight, </w:t>
      </w:r>
      <w:proofErr w:type="gramStart"/>
      <w:r w:rsidRPr="00C83A12">
        <w:rPr>
          <w:rFonts w:eastAsia="Times New Roman" w:cs="Arial"/>
          <w:color w:val="231F20"/>
          <w:lang w:val="en-US"/>
        </w:rPr>
        <w:t>allowances</w:t>
      </w:r>
      <w:proofErr w:type="gramEnd"/>
      <w:r w:rsidRPr="00C83A12">
        <w:rPr>
          <w:rFonts w:eastAsia="Times New Roman" w:cs="Arial"/>
          <w:color w:val="231F20"/>
          <w:lang w:val="en-US"/>
        </w:rPr>
        <w:t xml:space="preserve">) are barriers to </w:t>
      </w:r>
      <w:r w:rsidR="007E1F3B" w:rsidRPr="00C83A12">
        <w:rPr>
          <w:rFonts w:eastAsia="Times New Roman" w:cs="Arial"/>
          <w:color w:val="231F20"/>
          <w:lang w:val="en-US"/>
        </w:rPr>
        <w:t>bringing</w:t>
      </w:r>
      <w:r w:rsidR="001D01F8">
        <w:rPr>
          <w:rFonts w:eastAsia="Times New Roman" w:cs="Arial"/>
          <w:color w:val="231F20"/>
          <w:lang w:val="en-US"/>
        </w:rPr>
        <w:t xml:space="preserve"> more</w:t>
      </w:r>
      <w:r w:rsidR="007E1F3B" w:rsidRPr="00C83A12">
        <w:rPr>
          <w:rFonts w:eastAsia="Times New Roman" w:cs="Arial"/>
          <w:color w:val="231F20"/>
          <w:lang w:val="en-US"/>
        </w:rPr>
        <w:t xml:space="preserve"> live productions to regional areas</w:t>
      </w:r>
      <w:r w:rsidRPr="00C83A12">
        <w:rPr>
          <w:rFonts w:eastAsia="Times New Roman" w:cs="Arial"/>
          <w:color w:val="231F20"/>
          <w:lang w:val="en-US"/>
        </w:rPr>
        <w:t xml:space="preserve">. </w:t>
      </w:r>
    </w:p>
    <w:p w14:paraId="10213276" w14:textId="77777777" w:rsidR="00FA4DAC" w:rsidRPr="00C83A12" w:rsidRDefault="00FA4DAC" w:rsidP="004131E1">
      <w:pPr>
        <w:autoSpaceDE w:val="0"/>
        <w:autoSpaceDN w:val="0"/>
        <w:adjustRightInd w:val="0"/>
        <w:spacing w:line="300" w:lineRule="exact"/>
        <w:rPr>
          <w:rFonts w:eastAsia="Times New Roman" w:cs="Arial"/>
          <w:color w:val="231F20"/>
          <w:lang w:val="en-US"/>
        </w:rPr>
      </w:pPr>
    </w:p>
    <w:p w14:paraId="23E3EC32" w14:textId="584843D0" w:rsidR="00FA4DAC" w:rsidRPr="00C83A12" w:rsidRDefault="00FA4DAC"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The Australia Council, through its </w:t>
      </w:r>
      <w:r w:rsidR="007255FA" w:rsidRPr="00C83A12">
        <w:rPr>
          <w:rFonts w:eastAsia="Times New Roman" w:cs="Arial"/>
          <w:color w:val="231F20"/>
          <w:lang w:val="en-US"/>
        </w:rPr>
        <w:t>Playing Australia grants program</w:t>
      </w:r>
      <w:r w:rsidRPr="00C83A12">
        <w:rPr>
          <w:rFonts w:eastAsia="Times New Roman" w:cs="Arial"/>
          <w:color w:val="231F20"/>
          <w:lang w:val="en-US"/>
        </w:rPr>
        <w:t xml:space="preserve">, supports </w:t>
      </w:r>
      <w:r w:rsidR="007255FA" w:rsidRPr="00C83A12">
        <w:rPr>
          <w:rFonts w:eastAsia="Times New Roman" w:cs="Arial"/>
          <w:color w:val="231F20"/>
          <w:lang w:val="en-US"/>
        </w:rPr>
        <w:t xml:space="preserve">performing arts companies help meet the </w:t>
      </w:r>
      <w:r w:rsidR="00E1752E" w:rsidRPr="00C83A12">
        <w:rPr>
          <w:rFonts w:eastAsia="Times New Roman" w:cs="Arial"/>
          <w:color w:val="231F20"/>
          <w:lang w:val="en-US"/>
        </w:rPr>
        <w:t xml:space="preserve">high </w:t>
      </w:r>
      <w:r w:rsidR="007255FA" w:rsidRPr="00C83A12">
        <w:rPr>
          <w:rFonts w:eastAsia="Times New Roman" w:cs="Arial"/>
          <w:color w:val="231F20"/>
          <w:lang w:val="en-US"/>
        </w:rPr>
        <w:t xml:space="preserve">costs </w:t>
      </w:r>
      <w:r w:rsidR="00E1752E" w:rsidRPr="00C83A12">
        <w:rPr>
          <w:rFonts w:eastAsia="Times New Roman" w:cs="Arial"/>
          <w:color w:val="231F20"/>
          <w:lang w:val="en-US"/>
        </w:rPr>
        <w:t xml:space="preserve">associated with touring to regional locations. </w:t>
      </w:r>
      <w:r w:rsidRPr="00C83A12">
        <w:rPr>
          <w:rFonts w:eastAsia="Times New Roman" w:cs="Arial"/>
          <w:color w:val="231F20"/>
          <w:lang w:val="en-US"/>
        </w:rPr>
        <w:t xml:space="preserve">However, this program is oversubscribed each year, resulting in many missed opportunities for regional Australians to experience live productions in their local community. </w:t>
      </w:r>
    </w:p>
    <w:p w14:paraId="7C556BAE" w14:textId="77777777" w:rsidR="00FA4DAC" w:rsidRPr="00C83A12" w:rsidRDefault="00FA4DAC" w:rsidP="004131E1">
      <w:pPr>
        <w:autoSpaceDE w:val="0"/>
        <w:autoSpaceDN w:val="0"/>
        <w:adjustRightInd w:val="0"/>
        <w:spacing w:line="300" w:lineRule="exact"/>
        <w:rPr>
          <w:rFonts w:eastAsia="Times New Roman" w:cs="Arial"/>
          <w:color w:val="231F20"/>
          <w:lang w:val="en-US"/>
        </w:rPr>
      </w:pPr>
    </w:p>
    <w:p w14:paraId="15090B6D" w14:textId="6BB77588" w:rsidR="008E0C42" w:rsidRPr="00C83A12" w:rsidRDefault="00E1752E"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Historically, the total value of grants awarded through Playing Australia has been $6-7</w:t>
      </w:r>
      <w:r w:rsidR="000D766F">
        <w:rPr>
          <w:rFonts w:eastAsia="Times New Roman" w:cs="Arial"/>
          <w:color w:val="231F20"/>
          <w:lang w:val="en-US"/>
        </w:rPr>
        <w:t xml:space="preserve"> </w:t>
      </w:r>
      <w:r w:rsidRPr="00C83A12">
        <w:rPr>
          <w:rFonts w:eastAsia="Times New Roman" w:cs="Arial"/>
          <w:color w:val="231F20"/>
          <w:lang w:val="en-US"/>
        </w:rPr>
        <w:t>m</w:t>
      </w:r>
      <w:r w:rsidR="000D766F">
        <w:rPr>
          <w:rFonts w:eastAsia="Times New Roman" w:cs="Arial"/>
          <w:color w:val="231F20"/>
          <w:lang w:val="en-US"/>
        </w:rPr>
        <w:t>illion</w:t>
      </w:r>
      <w:r w:rsidRPr="00C83A12">
        <w:rPr>
          <w:rFonts w:eastAsia="Times New Roman" w:cs="Arial"/>
          <w:color w:val="231F20"/>
          <w:lang w:val="en-US"/>
        </w:rPr>
        <w:t xml:space="preserve"> per annum. The additional funding request represents a</w:t>
      </w:r>
      <w:r w:rsidR="001D01F8">
        <w:rPr>
          <w:rFonts w:eastAsia="Times New Roman" w:cs="Arial"/>
          <w:color w:val="231F20"/>
          <w:lang w:val="en-US"/>
        </w:rPr>
        <w:t>t least a</w:t>
      </w:r>
      <w:r w:rsidRPr="00C83A12">
        <w:rPr>
          <w:rFonts w:eastAsia="Times New Roman" w:cs="Arial"/>
          <w:color w:val="231F20"/>
          <w:lang w:val="en-US"/>
        </w:rPr>
        <w:t xml:space="preserve"> 50</w:t>
      </w:r>
      <w:r w:rsidR="001D01F8">
        <w:rPr>
          <w:rFonts w:eastAsia="Times New Roman" w:cs="Arial"/>
          <w:color w:val="231F20"/>
          <w:lang w:val="en-US"/>
        </w:rPr>
        <w:t xml:space="preserve"> per cent</w:t>
      </w:r>
      <w:r w:rsidRPr="00C83A12">
        <w:rPr>
          <w:rFonts w:eastAsia="Times New Roman" w:cs="Arial"/>
          <w:color w:val="231F20"/>
          <w:lang w:val="en-US"/>
        </w:rPr>
        <w:t xml:space="preserve"> increase in funds. The additional funding request equates to $3.5</w:t>
      </w:r>
      <w:r w:rsidR="000D766F">
        <w:rPr>
          <w:rFonts w:eastAsia="Times New Roman" w:cs="Arial"/>
          <w:color w:val="231F20"/>
          <w:lang w:val="en-US"/>
        </w:rPr>
        <w:t xml:space="preserve"> </w:t>
      </w:r>
      <w:r w:rsidRPr="00C83A12">
        <w:rPr>
          <w:rFonts w:eastAsia="Times New Roman" w:cs="Arial"/>
          <w:color w:val="231F20"/>
          <w:lang w:val="en-US"/>
        </w:rPr>
        <w:t>m</w:t>
      </w:r>
      <w:r w:rsidR="000D766F">
        <w:rPr>
          <w:rFonts w:eastAsia="Times New Roman" w:cs="Arial"/>
          <w:color w:val="231F20"/>
          <w:lang w:val="en-US"/>
        </w:rPr>
        <w:t>illion</w:t>
      </w:r>
      <w:r w:rsidRPr="00C83A12">
        <w:rPr>
          <w:rFonts w:eastAsia="Times New Roman" w:cs="Arial"/>
          <w:color w:val="231F20"/>
          <w:lang w:val="en-US"/>
        </w:rPr>
        <w:t xml:space="preserve"> per annum</w:t>
      </w:r>
      <w:r w:rsidR="001B15FB" w:rsidRPr="00C83A12">
        <w:rPr>
          <w:rFonts w:eastAsia="Times New Roman" w:cs="Arial"/>
          <w:color w:val="231F20"/>
          <w:lang w:val="en-US"/>
        </w:rPr>
        <w:t>. A proportion of the additional funding could be allocated to increasing the number of companies with National Touring Status</w:t>
      </w:r>
      <w:r w:rsidR="00643401" w:rsidRPr="00C83A12">
        <w:rPr>
          <w:rFonts w:eastAsia="Times New Roman" w:cs="Arial"/>
          <w:color w:val="231F20"/>
          <w:lang w:val="en-US"/>
        </w:rPr>
        <w:t xml:space="preserve"> (companies that receive multi-year funding to enable touring</w:t>
      </w:r>
      <w:r w:rsidR="0071238C" w:rsidRPr="00C83A12">
        <w:rPr>
          <w:rFonts w:eastAsia="Times New Roman" w:cs="Arial"/>
          <w:color w:val="231F20"/>
          <w:lang w:val="en-US"/>
        </w:rPr>
        <w:t xml:space="preserve"> in regional and remote Australia</w:t>
      </w:r>
      <w:r w:rsidR="00643401" w:rsidRPr="00C83A12">
        <w:rPr>
          <w:rFonts w:eastAsia="Times New Roman" w:cs="Arial"/>
          <w:color w:val="231F20"/>
          <w:lang w:val="en-US"/>
        </w:rPr>
        <w:t>)</w:t>
      </w:r>
      <w:r w:rsidR="001B15FB" w:rsidRPr="00C83A12">
        <w:rPr>
          <w:rFonts w:eastAsia="Times New Roman" w:cs="Arial"/>
          <w:color w:val="231F20"/>
          <w:lang w:val="en-US"/>
        </w:rPr>
        <w:t>, so that deeper relationships may be developed with regional audiences.</w:t>
      </w:r>
      <w:r w:rsidR="008E0C42" w:rsidRPr="00C83A12">
        <w:rPr>
          <w:rFonts w:eastAsia="Times New Roman" w:cs="Arial"/>
          <w:color w:val="231F20"/>
          <w:lang w:val="en-US"/>
        </w:rPr>
        <w:t xml:space="preserve"> </w:t>
      </w:r>
    </w:p>
    <w:p w14:paraId="2CE51326" w14:textId="77777777" w:rsidR="008E0C42" w:rsidRPr="00C83A12" w:rsidRDefault="008E0C42" w:rsidP="004131E1">
      <w:pPr>
        <w:autoSpaceDE w:val="0"/>
        <w:autoSpaceDN w:val="0"/>
        <w:adjustRightInd w:val="0"/>
        <w:spacing w:line="300" w:lineRule="exact"/>
        <w:rPr>
          <w:rFonts w:eastAsia="Times New Roman" w:cs="Arial"/>
          <w:color w:val="231F20"/>
          <w:lang w:val="en-US"/>
        </w:rPr>
      </w:pPr>
    </w:p>
    <w:p w14:paraId="4D98A5C3" w14:textId="058A1579" w:rsidR="00DD5AD1" w:rsidRPr="00C83A12" w:rsidRDefault="008E0C42"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This proposal is supported by the findings of the House of Representatives Standing Committee on Communication and the Arts inquiry into broadcasting, online content and live production in regional and rural Australia. The final report (released in May 20</w:t>
      </w:r>
      <w:r w:rsidR="00FA2BBD" w:rsidRPr="00C83A12">
        <w:rPr>
          <w:rFonts w:eastAsia="Times New Roman" w:cs="Arial"/>
          <w:color w:val="231F20"/>
          <w:lang w:val="en-US"/>
        </w:rPr>
        <w:t>16) acknowledged the</w:t>
      </w:r>
      <w:r w:rsidRPr="00C83A12">
        <w:rPr>
          <w:rFonts w:eastAsia="Times New Roman" w:cs="Arial"/>
          <w:color w:val="231F20"/>
          <w:lang w:val="en-US"/>
        </w:rPr>
        <w:t xml:space="preserve"> importance of Playing Austra</w:t>
      </w:r>
      <w:r w:rsidR="002376F1">
        <w:rPr>
          <w:rFonts w:eastAsia="Times New Roman" w:cs="Arial"/>
          <w:color w:val="231F20"/>
          <w:lang w:val="en-US"/>
        </w:rPr>
        <w:t>lia and recommend</w:t>
      </w:r>
      <w:r w:rsidR="00E47B8C">
        <w:rPr>
          <w:rFonts w:eastAsia="Times New Roman" w:cs="Arial"/>
          <w:color w:val="231F20"/>
          <w:lang w:val="en-US"/>
        </w:rPr>
        <w:t>ed</w:t>
      </w:r>
      <w:r w:rsidR="002376F1">
        <w:rPr>
          <w:rFonts w:eastAsia="Times New Roman" w:cs="Arial"/>
          <w:color w:val="231F20"/>
          <w:lang w:val="en-US"/>
        </w:rPr>
        <w:t xml:space="preserve"> that there be</w:t>
      </w:r>
      <w:r w:rsidRPr="00C83A12">
        <w:rPr>
          <w:rFonts w:eastAsia="Times New Roman" w:cs="Arial"/>
          <w:color w:val="231F20"/>
          <w:lang w:val="en-US"/>
        </w:rPr>
        <w:t xml:space="preserve"> adequate levels of funding for the program and that the National Touring Status arrangements be extended to include additional companies. </w:t>
      </w:r>
    </w:p>
    <w:p w14:paraId="7A53E120" w14:textId="77777777" w:rsidR="009F68EF" w:rsidRPr="00C83A12" w:rsidRDefault="009F68EF" w:rsidP="004131E1">
      <w:pPr>
        <w:autoSpaceDE w:val="0"/>
        <w:autoSpaceDN w:val="0"/>
        <w:adjustRightInd w:val="0"/>
        <w:spacing w:line="300" w:lineRule="exact"/>
        <w:rPr>
          <w:rFonts w:eastAsia="Times New Roman" w:cs="Arial"/>
          <w:color w:val="231F20"/>
          <w:lang w:val="en-US"/>
        </w:rPr>
      </w:pPr>
    </w:p>
    <w:p w14:paraId="6917A574" w14:textId="00BC1E42" w:rsidR="009F68EF" w:rsidRPr="00C83A12" w:rsidRDefault="009F68EF"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Support should also be considered for commercial producers to tour productions throughout regional Australia. </w:t>
      </w:r>
    </w:p>
    <w:p w14:paraId="7EBB34EA" w14:textId="77777777" w:rsidR="00EB23FA" w:rsidRPr="00C83A12" w:rsidRDefault="00EB23FA" w:rsidP="004131E1">
      <w:pPr>
        <w:autoSpaceDE w:val="0"/>
        <w:autoSpaceDN w:val="0"/>
        <w:adjustRightInd w:val="0"/>
        <w:spacing w:line="300" w:lineRule="exact"/>
        <w:rPr>
          <w:rFonts w:eastAsia="Times New Roman" w:cs="Arial"/>
          <w:color w:val="231F20"/>
          <w:lang w:val="en-US"/>
        </w:rPr>
      </w:pPr>
    </w:p>
    <w:p w14:paraId="4A727F61" w14:textId="41FB97D3" w:rsidR="00EB23FA" w:rsidRPr="00C83A12" w:rsidRDefault="00EB23FA" w:rsidP="004131E1">
      <w:pPr>
        <w:autoSpaceDE w:val="0"/>
        <w:autoSpaceDN w:val="0"/>
        <w:adjustRightInd w:val="0"/>
        <w:spacing w:line="300" w:lineRule="exact"/>
        <w:rPr>
          <w:rFonts w:eastAsia="Times New Roman" w:cs="Arial"/>
          <w:b/>
          <w:color w:val="CB1543"/>
          <w:lang w:val="en-US"/>
        </w:rPr>
      </w:pPr>
      <w:r w:rsidRPr="00C83A12">
        <w:rPr>
          <w:rFonts w:eastAsia="Times New Roman" w:cs="Arial"/>
          <w:b/>
          <w:color w:val="CB1543"/>
          <w:lang w:val="en-US"/>
        </w:rPr>
        <w:t>Summary</w:t>
      </w:r>
    </w:p>
    <w:p w14:paraId="2443ADAC" w14:textId="6D50381C" w:rsidR="00EB23FA" w:rsidRPr="00C83A12" w:rsidRDefault="00AC5C23"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 xml:space="preserve">In summary, </w:t>
      </w:r>
      <w:r w:rsidR="00EB23FA" w:rsidRPr="00C83A12">
        <w:rPr>
          <w:rFonts w:eastAsia="Times New Roman" w:cs="Arial"/>
          <w:color w:val="231F20"/>
          <w:lang w:val="en-US"/>
        </w:rPr>
        <w:t xml:space="preserve">LPA </w:t>
      </w:r>
      <w:r>
        <w:rPr>
          <w:rFonts w:eastAsia="Times New Roman" w:cs="Arial"/>
          <w:color w:val="231F20"/>
          <w:lang w:val="en-US"/>
        </w:rPr>
        <w:t xml:space="preserve">believes that with the right </w:t>
      </w:r>
      <w:r w:rsidR="00452D3E">
        <w:rPr>
          <w:rFonts w:eastAsia="Times New Roman" w:cs="Arial"/>
          <w:color w:val="231F20"/>
          <w:lang w:val="en-US"/>
        </w:rPr>
        <w:t>investment</w:t>
      </w:r>
      <w:r>
        <w:rPr>
          <w:rFonts w:eastAsia="Times New Roman" w:cs="Arial"/>
          <w:color w:val="231F20"/>
          <w:lang w:val="en-US"/>
        </w:rPr>
        <w:t xml:space="preserve"> from government the live performance industry can support </w:t>
      </w:r>
      <w:r w:rsidR="00452D3E">
        <w:rPr>
          <w:rFonts w:eastAsia="Times New Roman" w:cs="Arial"/>
          <w:color w:val="231F20"/>
          <w:lang w:val="en-US"/>
        </w:rPr>
        <w:t>the Government’s</w:t>
      </w:r>
      <w:r w:rsidR="00881394">
        <w:rPr>
          <w:rFonts w:eastAsia="Times New Roman" w:cs="Arial"/>
          <w:color w:val="231F20"/>
          <w:lang w:val="en-US"/>
        </w:rPr>
        <w:t xml:space="preserve"> goals </w:t>
      </w:r>
      <w:r w:rsidR="00452D3E">
        <w:rPr>
          <w:rFonts w:eastAsia="Times New Roman" w:cs="Arial"/>
          <w:color w:val="231F20"/>
          <w:lang w:val="en-US"/>
        </w:rPr>
        <w:t>f</w:t>
      </w:r>
      <w:r w:rsidR="00881394">
        <w:rPr>
          <w:rFonts w:eastAsia="Times New Roman" w:cs="Arial"/>
          <w:color w:val="231F20"/>
          <w:lang w:val="en-US"/>
        </w:rPr>
        <w:t>or</w:t>
      </w:r>
      <w:r w:rsidR="00452D3E">
        <w:rPr>
          <w:rFonts w:eastAsia="Times New Roman" w:cs="Arial"/>
          <w:color w:val="231F20"/>
          <w:lang w:val="en-US"/>
        </w:rPr>
        <w:t xml:space="preserve"> </w:t>
      </w:r>
      <w:r w:rsidR="00A41275">
        <w:rPr>
          <w:rFonts w:eastAsia="Times New Roman" w:cs="Arial"/>
          <w:color w:val="231F20"/>
          <w:lang w:val="en-US"/>
        </w:rPr>
        <w:t>jobs and growth</w:t>
      </w:r>
      <w:r w:rsidR="00452D3E">
        <w:rPr>
          <w:rFonts w:eastAsia="Times New Roman" w:cs="Arial"/>
          <w:color w:val="231F20"/>
          <w:lang w:val="en-US"/>
        </w:rPr>
        <w:t>. O</w:t>
      </w:r>
      <w:r w:rsidR="00A41275">
        <w:rPr>
          <w:rFonts w:eastAsia="Times New Roman" w:cs="Arial"/>
          <w:color w:val="231F20"/>
          <w:lang w:val="en-US"/>
        </w:rPr>
        <w:t xml:space="preserve">ur </w:t>
      </w:r>
      <w:r w:rsidR="00EB23FA" w:rsidRPr="00C83A12">
        <w:rPr>
          <w:rFonts w:eastAsia="Times New Roman" w:cs="Arial"/>
          <w:color w:val="231F20"/>
          <w:lang w:val="en-US"/>
        </w:rPr>
        <w:t>propose</w:t>
      </w:r>
      <w:r w:rsidR="00A41275">
        <w:rPr>
          <w:rFonts w:eastAsia="Times New Roman" w:cs="Arial"/>
          <w:color w:val="231F20"/>
          <w:lang w:val="en-US"/>
        </w:rPr>
        <w:t>d</w:t>
      </w:r>
      <w:r w:rsidR="001D01F8">
        <w:rPr>
          <w:rFonts w:eastAsia="Times New Roman" w:cs="Arial"/>
          <w:color w:val="231F20"/>
          <w:lang w:val="en-US"/>
        </w:rPr>
        <w:t xml:space="preserve"> budget</w:t>
      </w:r>
      <w:r w:rsidR="002376F1">
        <w:rPr>
          <w:rFonts w:eastAsia="Times New Roman" w:cs="Arial"/>
          <w:color w:val="231F20"/>
          <w:lang w:val="en-US"/>
        </w:rPr>
        <w:t xml:space="preserve"> </w:t>
      </w:r>
      <w:r w:rsidR="00EB23FA" w:rsidRPr="00C83A12">
        <w:rPr>
          <w:rFonts w:eastAsia="Times New Roman" w:cs="Arial"/>
          <w:color w:val="231F20"/>
          <w:lang w:val="en-US"/>
        </w:rPr>
        <w:t>initiatives:</w:t>
      </w:r>
    </w:p>
    <w:p w14:paraId="6C4BC668" w14:textId="302094F3" w:rsidR="00EB23FA" w:rsidRPr="00C83A12" w:rsidRDefault="00EB23FA" w:rsidP="004131E1">
      <w:pPr>
        <w:pStyle w:val="ListParagraph"/>
        <w:numPr>
          <w:ilvl w:val="0"/>
          <w:numId w:val="33"/>
        </w:numPr>
        <w:autoSpaceDE w:val="0"/>
        <w:autoSpaceDN w:val="0"/>
        <w:adjustRightInd w:val="0"/>
        <w:spacing w:line="300" w:lineRule="exact"/>
        <w:ind w:left="426" w:hanging="426"/>
        <w:rPr>
          <w:rFonts w:eastAsia="Times New Roman" w:cs="Arial"/>
          <w:color w:val="231F20"/>
          <w:lang w:val="en-US"/>
        </w:rPr>
      </w:pPr>
      <w:r w:rsidRPr="00C83A12">
        <w:rPr>
          <w:rFonts w:eastAsia="Times New Roman" w:cs="Arial"/>
          <w:color w:val="231F20"/>
          <w:lang w:val="en-US"/>
        </w:rPr>
        <w:t xml:space="preserve">support the sustainability and growth of the live performance industry; </w:t>
      </w:r>
    </w:p>
    <w:p w14:paraId="24587033" w14:textId="003E4737" w:rsidR="00EB23FA" w:rsidRPr="00C83A12" w:rsidRDefault="001B15FB" w:rsidP="004131E1">
      <w:pPr>
        <w:pStyle w:val="ListParagraph"/>
        <w:numPr>
          <w:ilvl w:val="0"/>
          <w:numId w:val="33"/>
        </w:numPr>
        <w:autoSpaceDE w:val="0"/>
        <w:autoSpaceDN w:val="0"/>
        <w:adjustRightInd w:val="0"/>
        <w:spacing w:line="300" w:lineRule="exact"/>
        <w:ind w:left="426" w:hanging="426"/>
        <w:rPr>
          <w:rFonts w:eastAsia="Times New Roman" w:cs="Arial"/>
          <w:color w:val="231F20"/>
          <w:lang w:val="en-US"/>
        </w:rPr>
      </w:pPr>
      <w:r w:rsidRPr="00C83A12">
        <w:rPr>
          <w:rFonts w:eastAsia="Times New Roman" w:cs="Arial"/>
          <w:color w:val="231F20"/>
          <w:lang w:val="en-US"/>
        </w:rPr>
        <w:t>stimulate</w:t>
      </w:r>
      <w:r w:rsidR="00EB23FA" w:rsidRPr="00C83A12">
        <w:rPr>
          <w:rFonts w:eastAsia="Times New Roman" w:cs="Arial"/>
          <w:color w:val="231F20"/>
          <w:lang w:val="en-US"/>
        </w:rPr>
        <w:t xml:space="preserve"> investment in live productions; and</w:t>
      </w:r>
    </w:p>
    <w:p w14:paraId="2C641B98" w14:textId="034151FC" w:rsidR="00EB23FA" w:rsidRPr="00C83A12" w:rsidRDefault="00EB23FA" w:rsidP="004131E1">
      <w:pPr>
        <w:pStyle w:val="ListParagraph"/>
        <w:numPr>
          <w:ilvl w:val="0"/>
          <w:numId w:val="33"/>
        </w:numPr>
        <w:autoSpaceDE w:val="0"/>
        <w:autoSpaceDN w:val="0"/>
        <w:adjustRightInd w:val="0"/>
        <w:spacing w:line="300" w:lineRule="exact"/>
        <w:ind w:left="426" w:hanging="426"/>
        <w:rPr>
          <w:rFonts w:eastAsia="Times New Roman" w:cs="Arial"/>
          <w:color w:val="231F20"/>
          <w:lang w:val="en-US"/>
        </w:rPr>
      </w:pPr>
      <w:proofErr w:type="gramStart"/>
      <w:r w:rsidRPr="00C83A12">
        <w:rPr>
          <w:rFonts w:eastAsia="Times New Roman" w:cs="Arial"/>
          <w:color w:val="231F20"/>
          <w:lang w:val="en-US"/>
        </w:rPr>
        <w:t>increase</w:t>
      </w:r>
      <w:proofErr w:type="gramEnd"/>
      <w:r w:rsidRPr="00C83A12">
        <w:rPr>
          <w:rFonts w:eastAsia="Times New Roman" w:cs="Arial"/>
          <w:color w:val="231F20"/>
          <w:lang w:val="en-US"/>
        </w:rPr>
        <w:t xml:space="preserve"> access to live p</w:t>
      </w:r>
      <w:r w:rsidR="001D01F8">
        <w:rPr>
          <w:rFonts w:eastAsia="Times New Roman" w:cs="Arial"/>
          <w:color w:val="231F20"/>
          <w:lang w:val="en-US"/>
        </w:rPr>
        <w:t>erformance</w:t>
      </w:r>
      <w:r w:rsidRPr="00C83A12">
        <w:rPr>
          <w:rFonts w:eastAsia="Times New Roman" w:cs="Arial"/>
          <w:color w:val="231F20"/>
          <w:lang w:val="en-US"/>
        </w:rPr>
        <w:t xml:space="preserve"> in regional Australia. </w:t>
      </w:r>
    </w:p>
    <w:p w14:paraId="0B831FA1" w14:textId="77777777" w:rsidR="00EB23FA" w:rsidRPr="00C83A12" w:rsidRDefault="00EB23FA" w:rsidP="004131E1">
      <w:pPr>
        <w:autoSpaceDE w:val="0"/>
        <w:autoSpaceDN w:val="0"/>
        <w:adjustRightInd w:val="0"/>
        <w:spacing w:line="300" w:lineRule="exact"/>
        <w:rPr>
          <w:rFonts w:eastAsia="Times New Roman" w:cs="Arial"/>
          <w:color w:val="231F20"/>
          <w:lang w:val="en-US"/>
        </w:rPr>
      </w:pPr>
    </w:p>
    <w:p w14:paraId="258D8A33" w14:textId="16E37C74" w:rsidR="00EB23FA" w:rsidRDefault="00EB23FA"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A vibrant live performance industry is </w:t>
      </w:r>
      <w:r w:rsidR="002376F1">
        <w:rPr>
          <w:rFonts w:eastAsia="Times New Roman" w:cs="Arial"/>
          <w:color w:val="231F20"/>
          <w:lang w:val="en-US"/>
        </w:rPr>
        <w:t>critical</w:t>
      </w:r>
      <w:r w:rsidRPr="00C83A12">
        <w:rPr>
          <w:rFonts w:eastAsia="Times New Roman" w:cs="Arial"/>
          <w:color w:val="231F20"/>
          <w:lang w:val="en-US"/>
        </w:rPr>
        <w:t xml:space="preserve"> to Australia’s economic, social and cultural wellbeing and we ask the Government to continue to</w:t>
      </w:r>
      <w:r w:rsidR="001D01F8">
        <w:rPr>
          <w:rFonts w:eastAsia="Times New Roman" w:cs="Arial"/>
          <w:color w:val="231F20"/>
          <w:lang w:val="en-US"/>
        </w:rPr>
        <w:t xml:space="preserve"> support and promote</w:t>
      </w:r>
      <w:r w:rsidRPr="00C83A12">
        <w:rPr>
          <w:rFonts w:eastAsia="Times New Roman" w:cs="Arial"/>
          <w:color w:val="231F20"/>
          <w:lang w:val="en-US"/>
        </w:rPr>
        <w:t xml:space="preserve"> invest</w:t>
      </w:r>
      <w:r w:rsidR="001D01F8">
        <w:rPr>
          <w:rFonts w:eastAsia="Times New Roman" w:cs="Arial"/>
          <w:color w:val="231F20"/>
          <w:lang w:val="en-US"/>
        </w:rPr>
        <w:t>ment</w:t>
      </w:r>
      <w:r w:rsidRPr="00C83A12">
        <w:rPr>
          <w:rFonts w:eastAsia="Times New Roman" w:cs="Arial"/>
          <w:color w:val="231F20"/>
          <w:lang w:val="en-US"/>
        </w:rPr>
        <w:t xml:space="preserve"> in</w:t>
      </w:r>
      <w:r w:rsidR="004131E1" w:rsidRPr="00C83A12">
        <w:rPr>
          <w:rFonts w:eastAsia="Times New Roman" w:cs="Arial"/>
          <w:color w:val="231F20"/>
          <w:lang w:val="en-US"/>
        </w:rPr>
        <w:t xml:space="preserve"> our</w:t>
      </w:r>
      <w:r w:rsidRPr="00C83A12">
        <w:rPr>
          <w:rFonts w:eastAsia="Times New Roman" w:cs="Arial"/>
          <w:color w:val="231F20"/>
          <w:lang w:val="en-US"/>
        </w:rPr>
        <w:t xml:space="preserve"> industry. </w:t>
      </w:r>
    </w:p>
    <w:p w14:paraId="33B1C855" w14:textId="77777777" w:rsidR="000C144D" w:rsidRDefault="000C144D" w:rsidP="004131E1">
      <w:pPr>
        <w:autoSpaceDE w:val="0"/>
        <w:autoSpaceDN w:val="0"/>
        <w:adjustRightInd w:val="0"/>
        <w:spacing w:line="300" w:lineRule="exact"/>
        <w:rPr>
          <w:rFonts w:eastAsia="Times New Roman" w:cs="Arial"/>
          <w:color w:val="231F20"/>
          <w:lang w:val="en-US"/>
        </w:rPr>
      </w:pPr>
    </w:p>
    <w:p w14:paraId="465F27B7" w14:textId="7824D292" w:rsidR="000C144D" w:rsidRPr="00C83A12" w:rsidRDefault="000C144D" w:rsidP="004131E1">
      <w:pPr>
        <w:autoSpaceDE w:val="0"/>
        <w:autoSpaceDN w:val="0"/>
        <w:adjustRightInd w:val="0"/>
        <w:spacing w:line="300" w:lineRule="exact"/>
        <w:rPr>
          <w:rFonts w:eastAsia="Times New Roman" w:cs="Arial"/>
          <w:color w:val="231F20"/>
          <w:lang w:val="en-US"/>
        </w:rPr>
      </w:pPr>
      <w:r>
        <w:rPr>
          <w:rFonts w:eastAsia="Times New Roman" w:cs="Arial"/>
          <w:color w:val="231F20"/>
          <w:lang w:val="en-US"/>
        </w:rPr>
        <w:t xml:space="preserve">Finally, we would also like to endorse the recommendations submitted by </w:t>
      </w:r>
      <w:r w:rsidR="000D766F">
        <w:rPr>
          <w:rFonts w:eastAsia="Times New Roman" w:cs="Arial"/>
          <w:color w:val="231F20"/>
          <w:lang w:val="en-US"/>
        </w:rPr>
        <w:t xml:space="preserve">the </w:t>
      </w:r>
      <w:r>
        <w:rPr>
          <w:rFonts w:eastAsia="Times New Roman" w:cs="Arial"/>
          <w:color w:val="231F20"/>
          <w:lang w:val="en-US"/>
        </w:rPr>
        <w:t>Australian Major Performing Arts Group (AMPAG) to this 2017-18 Budget process.</w:t>
      </w:r>
    </w:p>
    <w:p w14:paraId="63DF5594" w14:textId="77777777" w:rsidR="00EB23FA" w:rsidRPr="00C83A12" w:rsidRDefault="00EB23FA" w:rsidP="004131E1">
      <w:pPr>
        <w:autoSpaceDE w:val="0"/>
        <w:autoSpaceDN w:val="0"/>
        <w:adjustRightInd w:val="0"/>
        <w:spacing w:line="300" w:lineRule="exact"/>
        <w:rPr>
          <w:rFonts w:eastAsia="Times New Roman" w:cs="Arial"/>
          <w:color w:val="231F20"/>
          <w:lang w:val="en-US"/>
        </w:rPr>
      </w:pPr>
    </w:p>
    <w:p w14:paraId="7E947932" w14:textId="7562A762" w:rsidR="00802624" w:rsidRPr="00C83A12" w:rsidRDefault="00FA4DAC"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Once again, we thank you for the opportunity to present </w:t>
      </w:r>
      <w:r w:rsidR="001D01F8">
        <w:rPr>
          <w:rFonts w:eastAsia="Times New Roman" w:cs="Arial"/>
          <w:color w:val="231F20"/>
          <w:lang w:val="en-US"/>
        </w:rPr>
        <w:t xml:space="preserve">this submission for consideration in </w:t>
      </w:r>
      <w:r w:rsidRPr="00C83A12">
        <w:rPr>
          <w:rFonts w:eastAsia="Times New Roman" w:cs="Arial"/>
          <w:color w:val="231F20"/>
          <w:lang w:val="en-US"/>
        </w:rPr>
        <w:t xml:space="preserve">the Budget process. </w:t>
      </w:r>
      <w:r w:rsidR="0082176E" w:rsidRPr="00C83A12">
        <w:rPr>
          <w:rFonts w:eastAsia="Times New Roman" w:cs="Arial"/>
          <w:color w:val="231F20"/>
          <w:lang w:val="en-US"/>
        </w:rPr>
        <w:t xml:space="preserve">Should </w:t>
      </w:r>
      <w:r w:rsidR="00C77779" w:rsidRPr="00C83A12">
        <w:rPr>
          <w:rFonts w:eastAsia="Times New Roman" w:cs="Arial"/>
          <w:color w:val="231F20"/>
          <w:lang w:val="en-US"/>
        </w:rPr>
        <w:t>you</w:t>
      </w:r>
      <w:r w:rsidR="0082176E" w:rsidRPr="00C83A12">
        <w:rPr>
          <w:rFonts w:eastAsia="Times New Roman" w:cs="Arial"/>
          <w:color w:val="231F20"/>
          <w:lang w:val="en-US"/>
        </w:rPr>
        <w:t xml:space="preserve"> </w:t>
      </w:r>
      <w:r w:rsidR="000B5C01" w:rsidRPr="00C83A12">
        <w:rPr>
          <w:rFonts w:eastAsia="Times New Roman" w:cs="Arial"/>
          <w:color w:val="231F20"/>
          <w:lang w:val="en-US"/>
        </w:rPr>
        <w:t>ha</w:t>
      </w:r>
      <w:r w:rsidR="0082176E" w:rsidRPr="00C83A12">
        <w:rPr>
          <w:rFonts w:eastAsia="Times New Roman" w:cs="Arial"/>
          <w:color w:val="231F20"/>
          <w:lang w:val="en-US"/>
        </w:rPr>
        <w:t>ve</w:t>
      </w:r>
      <w:r w:rsidR="000B5C01" w:rsidRPr="00C83A12">
        <w:rPr>
          <w:rFonts w:eastAsia="Times New Roman" w:cs="Arial"/>
          <w:color w:val="231F20"/>
          <w:lang w:val="en-US"/>
        </w:rPr>
        <w:t xml:space="preserve"> any queries regarding </w:t>
      </w:r>
      <w:r w:rsidR="00AC38CD" w:rsidRPr="00C83A12">
        <w:rPr>
          <w:rFonts w:eastAsia="Times New Roman" w:cs="Arial"/>
          <w:color w:val="231F20"/>
          <w:lang w:val="en-US"/>
        </w:rPr>
        <w:t>the information provided</w:t>
      </w:r>
      <w:r w:rsidR="00A13D4D" w:rsidRPr="00C83A12">
        <w:rPr>
          <w:rFonts w:eastAsia="Times New Roman" w:cs="Arial"/>
          <w:color w:val="231F20"/>
          <w:lang w:val="en-US"/>
        </w:rPr>
        <w:t xml:space="preserve">, please do not hesitate to contact me </w:t>
      </w:r>
      <w:r w:rsidR="003B403E" w:rsidRPr="00C83A12">
        <w:rPr>
          <w:rFonts w:eastAsia="Times New Roman" w:cs="Arial"/>
          <w:color w:val="231F20"/>
          <w:lang w:val="en-US"/>
        </w:rPr>
        <w:t>or Kim Tran (</w:t>
      </w:r>
      <w:hyperlink r:id="rId8" w:history="1">
        <w:r w:rsidR="003B403E" w:rsidRPr="00C83A12">
          <w:rPr>
            <w:rStyle w:val="Hyperlink"/>
            <w:rFonts w:eastAsia="Times New Roman" w:cs="Arial"/>
            <w:lang w:val="en-US"/>
          </w:rPr>
          <w:t>ktran@liveperformance.com.au</w:t>
        </w:r>
      </w:hyperlink>
      <w:r w:rsidR="003B403E" w:rsidRPr="00C83A12">
        <w:rPr>
          <w:rFonts w:eastAsia="Times New Roman" w:cs="Arial"/>
          <w:color w:val="231F20"/>
          <w:lang w:val="en-US"/>
        </w:rPr>
        <w:t xml:space="preserve">) via email or telephone. </w:t>
      </w:r>
    </w:p>
    <w:p w14:paraId="438AAC32" w14:textId="77777777" w:rsidR="00235527" w:rsidRPr="00C83A12" w:rsidRDefault="00235527" w:rsidP="004131E1">
      <w:pPr>
        <w:autoSpaceDE w:val="0"/>
        <w:autoSpaceDN w:val="0"/>
        <w:adjustRightInd w:val="0"/>
        <w:spacing w:line="300" w:lineRule="exact"/>
        <w:rPr>
          <w:rFonts w:eastAsia="Times New Roman" w:cs="Arial"/>
          <w:color w:val="231F20"/>
          <w:lang w:val="en-US"/>
        </w:rPr>
      </w:pPr>
    </w:p>
    <w:p w14:paraId="4242B93E" w14:textId="4988F51F" w:rsidR="00E2108B" w:rsidRPr="00C83A12" w:rsidRDefault="000D766F" w:rsidP="004131E1">
      <w:pPr>
        <w:autoSpaceDE w:val="0"/>
        <w:autoSpaceDN w:val="0"/>
        <w:adjustRightInd w:val="0"/>
        <w:spacing w:line="300" w:lineRule="exact"/>
        <w:rPr>
          <w:rFonts w:eastAsia="Times New Roman" w:cs="Arial"/>
          <w:noProof/>
          <w:color w:val="231F20"/>
          <w:lang w:eastAsia="en-AU"/>
        </w:rPr>
      </w:pPr>
      <w:r>
        <w:rPr>
          <w:rFonts w:eastAsia="Times New Roman" w:cs="Arial"/>
          <w:noProof/>
          <w:color w:val="231F20"/>
          <w:lang w:eastAsia="en-AU"/>
        </w:rPr>
        <w:drawing>
          <wp:anchor distT="0" distB="0" distL="114300" distR="114300" simplePos="0" relativeHeight="251661312" behindDoc="0" locked="0" layoutInCell="1" allowOverlap="1" wp14:anchorId="25D0C724" wp14:editId="5B33FCF7">
            <wp:simplePos x="0" y="0"/>
            <wp:positionH relativeFrom="margin">
              <wp:align>left</wp:align>
            </wp:positionH>
            <wp:positionV relativeFrom="paragraph">
              <wp:posOffset>257175</wp:posOffset>
            </wp:positionV>
            <wp:extent cx="1447800" cy="561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Evelyn'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561975"/>
                    </a:xfrm>
                    <a:prstGeom prst="rect">
                      <a:avLst/>
                    </a:prstGeom>
                  </pic:spPr>
                </pic:pic>
              </a:graphicData>
            </a:graphic>
            <wp14:sizeRelH relativeFrom="margin">
              <wp14:pctWidth>0</wp14:pctWidth>
            </wp14:sizeRelH>
            <wp14:sizeRelV relativeFrom="margin">
              <wp14:pctHeight>0</wp14:pctHeight>
            </wp14:sizeRelV>
          </wp:anchor>
        </w:drawing>
      </w:r>
      <w:r w:rsidR="0074311C" w:rsidRPr="00C83A12">
        <w:rPr>
          <w:rFonts w:eastAsia="Times New Roman" w:cs="Arial"/>
          <w:color w:val="231F20"/>
          <w:lang w:val="en-US"/>
        </w:rPr>
        <w:t>Yours sincerely</w:t>
      </w:r>
      <w:r w:rsidR="00BA57E5" w:rsidRPr="00C83A12">
        <w:rPr>
          <w:rFonts w:eastAsia="Times New Roman" w:cs="Arial"/>
          <w:color w:val="231F20"/>
          <w:lang w:val="en-US"/>
        </w:rPr>
        <w:t>,</w:t>
      </w:r>
    </w:p>
    <w:p w14:paraId="0081B9E3" w14:textId="77777777" w:rsidR="0074311C" w:rsidRPr="00C83A12" w:rsidRDefault="00A13D4D" w:rsidP="004131E1">
      <w:pPr>
        <w:autoSpaceDE w:val="0"/>
        <w:autoSpaceDN w:val="0"/>
        <w:adjustRightInd w:val="0"/>
        <w:spacing w:line="300" w:lineRule="exact"/>
        <w:rPr>
          <w:rFonts w:eastAsia="Times New Roman" w:cs="Arial"/>
          <w:b/>
          <w:color w:val="231F20"/>
          <w:lang w:val="en-US"/>
        </w:rPr>
      </w:pPr>
      <w:r w:rsidRPr="00C83A12">
        <w:rPr>
          <w:rFonts w:eastAsia="Times New Roman" w:cs="Arial"/>
          <w:b/>
          <w:color w:val="231F20"/>
          <w:lang w:val="en-US"/>
        </w:rPr>
        <w:t xml:space="preserve">Evelyn Richardson </w:t>
      </w:r>
    </w:p>
    <w:p w14:paraId="0BC4E2FB" w14:textId="77777777" w:rsidR="0074311C" w:rsidRPr="00C83A12" w:rsidRDefault="00A13D4D" w:rsidP="004131E1">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Chief Executive </w:t>
      </w:r>
    </w:p>
    <w:p w14:paraId="1B445C6D" w14:textId="77777777" w:rsidR="00C33436" w:rsidRPr="00C83A12" w:rsidRDefault="0074311C" w:rsidP="004131E1">
      <w:pPr>
        <w:autoSpaceDE w:val="0"/>
        <w:autoSpaceDN w:val="0"/>
        <w:adjustRightInd w:val="0"/>
        <w:spacing w:line="300" w:lineRule="exact"/>
        <w:rPr>
          <w:rFonts w:eastAsia="Times New Roman" w:cs="Arial"/>
          <w:color w:val="231F20"/>
          <w:sz w:val="18"/>
          <w:lang w:val="en-US"/>
        </w:rPr>
      </w:pPr>
      <w:proofErr w:type="gramStart"/>
      <w:r w:rsidRPr="00C83A12">
        <w:rPr>
          <w:rFonts w:eastAsia="Times New Roman" w:cs="Arial"/>
          <w:b/>
          <w:bCs/>
          <w:color w:val="231F20"/>
          <w:sz w:val="18"/>
          <w:lang w:val="en-US"/>
        </w:rPr>
        <w:t xml:space="preserve">E  </w:t>
      </w:r>
      <w:proofErr w:type="gramEnd"/>
      <w:r w:rsidR="00675C7D">
        <w:fldChar w:fldCharType="begin"/>
      </w:r>
      <w:r w:rsidR="00675C7D">
        <w:instrText xml:space="preserve"> HYPERLINK "mailto:erichardson@liveperformance.com.au" </w:instrText>
      </w:r>
      <w:r w:rsidR="00675C7D">
        <w:fldChar w:fldCharType="separate"/>
      </w:r>
      <w:r w:rsidR="00A13D4D" w:rsidRPr="00C83A12">
        <w:rPr>
          <w:rStyle w:val="Hyperlink"/>
          <w:rFonts w:eastAsia="Times New Roman" w:cs="Arial"/>
          <w:sz w:val="18"/>
          <w:lang w:val="en-US"/>
        </w:rPr>
        <w:t>erichardson@liveperformance.com.au</w:t>
      </w:r>
      <w:r w:rsidR="00675C7D">
        <w:rPr>
          <w:rStyle w:val="Hyperlink"/>
          <w:rFonts w:eastAsia="Times New Roman" w:cs="Arial"/>
          <w:sz w:val="18"/>
          <w:lang w:val="en-US"/>
        </w:rPr>
        <w:fldChar w:fldCharType="end"/>
      </w:r>
    </w:p>
    <w:p w14:paraId="289A8B24" w14:textId="77777777" w:rsidR="00C86826" w:rsidRPr="00C83A12" w:rsidRDefault="00C33436" w:rsidP="004131E1">
      <w:pPr>
        <w:autoSpaceDE w:val="0"/>
        <w:autoSpaceDN w:val="0"/>
        <w:adjustRightInd w:val="0"/>
        <w:spacing w:line="300" w:lineRule="exact"/>
        <w:rPr>
          <w:rFonts w:eastAsia="Times New Roman" w:cs="Arial"/>
          <w:bCs/>
          <w:color w:val="231F20"/>
          <w:sz w:val="18"/>
          <w:lang w:val="en-US"/>
        </w:rPr>
      </w:pPr>
      <w:proofErr w:type="gramStart"/>
      <w:r w:rsidRPr="00C83A12">
        <w:rPr>
          <w:rFonts w:eastAsia="Times New Roman" w:cs="Arial"/>
          <w:b/>
          <w:bCs/>
          <w:color w:val="231F20"/>
          <w:sz w:val="18"/>
          <w:lang w:val="en-US"/>
        </w:rPr>
        <w:t>T</w:t>
      </w:r>
      <w:r w:rsidRPr="00C83A12">
        <w:rPr>
          <w:rFonts w:eastAsia="Times New Roman" w:cs="Arial"/>
          <w:bCs/>
          <w:color w:val="231F20"/>
          <w:sz w:val="18"/>
          <w:lang w:val="en-US"/>
        </w:rPr>
        <w:t xml:space="preserve">  (</w:t>
      </w:r>
      <w:proofErr w:type="gramEnd"/>
      <w:r w:rsidRPr="00C83A12">
        <w:rPr>
          <w:rFonts w:eastAsia="Times New Roman" w:cs="Arial"/>
          <w:bCs/>
          <w:color w:val="231F20"/>
          <w:sz w:val="18"/>
          <w:lang w:val="en-US"/>
        </w:rPr>
        <w:t>03) 8614 2000</w:t>
      </w:r>
    </w:p>
    <w:p w14:paraId="4BD8B57D" w14:textId="77777777" w:rsidR="00987EDC" w:rsidRPr="00C83A12" w:rsidRDefault="00987EDC" w:rsidP="004131E1">
      <w:pPr>
        <w:autoSpaceDE w:val="0"/>
        <w:autoSpaceDN w:val="0"/>
        <w:adjustRightInd w:val="0"/>
        <w:spacing w:line="300" w:lineRule="exact"/>
        <w:rPr>
          <w:rFonts w:eastAsia="Times New Roman" w:cs="Arial"/>
          <w:bCs/>
          <w:color w:val="231F20"/>
          <w:sz w:val="18"/>
          <w:lang w:val="en-US"/>
        </w:rPr>
      </w:pPr>
    </w:p>
    <w:p w14:paraId="53B75097" w14:textId="0293A46B" w:rsidR="007B0533" w:rsidRPr="00C83A12" w:rsidRDefault="00BB59BF" w:rsidP="004131E1">
      <w:pPr>
        <w:autoSpaceDE w:val="0"/>
        <w:autoSpaceDN w:val="0"/>
        <w:adjustRightInd w:val="0"/>
        <w:spacing w:line="300" w:lineRule="exact"/>
        <w:rPr>
          <w:rFonts w:eastAsia="Times New Roman" w:cs="Arial"/>
          <w:bCs/>
          <w:color w:val="231F20"/>
          <w:lang w:val="en-US"/>
        </w:rPr>
      </w:pPr>
      <w:r w:rsidRPr="00C83A12">
        <w:rPr>
          <w:rFonts w:eastAsia="Times New Roman" w:cs="Arial"/>
          <w:bCs/>
          <w:color w:val="231F20"/>
          <w:lang w:val="en-US"/>
        </w:rPr>
        <w:t xml:space="preserve">cc: Minister for the Arts, Senator the Hon Mitch Fifield </w:t>
      </w:r>
    </w:p>
    <w:p w14:paraId="6620D49A" w14:textId="77777777" w:rsidR="000C144D" w:rsidRDefault="000C144D" w:rsidP="004131E1">
      <w:pPr>
        <w:autoSpaceDE w:val="0"/>
        <w:autoSpaceDN w:val="0"/>
        <w:adjustRightInd w:val="0"/>
        <w:spacing w:line="300" w:lineRule="exact"/>
        <w:rPr>
          <w:rFonts w:eastAsia="Times New Roman" w:cs="Arial"/>
          <w:bCs/>
          <w:color w:val="231F20"/>
          <w:sz w:val="18"/>
          <w:lang w:val="en-US"/>
        </w:rPr>
      </w:pPr>
    </w:p>
    <w:p w14:paraId="2688DE22" w14:textId="77777777" w:rsidR="00452D3E" w:rsidRDefault="00452D3E" w:rsidP="004131E1">
      <w:pPr>
        <w:autoSpaceDE w:val="0"/>
        <w:autoSpaceDN w:val="0"/>
        <w:adjustRightInd w:val="0"/>
        <w:spacing w:line="300" w:lineRule="exact"/>
        <w:rPr>
          <w:rFonts w:eastAsia="Times New Roman" w:cs="Arial"/>
          <w:bCs/>
          <w:color w:val="231F20"/>
          <w:sz w:val="18"/>
          <w:lang w:val="en-US"/>
        </w:rPr>
      </w:pPr>
    </w:p>
    <w:p w14:paraId="3A9BA0A6" w14:textId="77777777" w:rsidR="007B0533" w:rsidRPr="00C83A12" w:rsidRDefault="007B0533" w:rsidP="000C144D">
      <w:pPr>
        <w:autoSpaceDE w:val="0"/>
        <w:autoSpaceDN w:val="0"/>
        <w:adjustRightInd w:val="0"/>
        <w:spacing w:line="300" w:lineRule="exact"/>
        <w:rPr>
          <w:rFonts w:eastAsia="Times New Roman" w:cs="Arial"/>
          <w:b/>
          <w:color w:val="CB1543"/>
          <w:lang w:val="en-US"/>
        </w:rPr>
      </w:pPr>
      <w:r w:rsidRPr="00C83A12">
        <w:rPr>
          <w:rFonts w:eastAsia="Times New Roman" w:cs="Arial"/>
          <w:b/>
          <w:color w:val="CB1543"/>
          <w:lang w:val="en-US"/>
        </w:rPr>
        <w:lastRenderedPageBreak/>
        <w:t>ABOUT LPA</w:t>
      </w:r>
    </w:p>
    <w:p w14:paraId="7F6EDA71" w14:textId="77777777" w:rsidR="007B0533" w:rsidRPr="00C83A12" w:rsidRDefault="007B0533" w:rsidP="000C144D">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 xml:space="preserve">LPA is the peak body for Australia’s live performance industry. Established in 1917 and registered as an employers’ </w:t>
      </w:r>
      <w:proofErr w:type="spellStart"/>
      <w:r w:rsidRPr="00C83A12">
        <w:rPr>
          <w:rFonts w:eastAsia="Times New Roman" w:cs="Arial"/>
          <w:color w:val="231F20"/>
          <w:lang w:val="en-US"/>
        </w:rPr>
        <w:t>organisation</w:t>
      </w:r>
      <w:proofErr w:type="spellEnd"/>
      <w:r w:rsidRPr="00C83A12">
        <w:rPr>
          <w:rFonts w:eastAsia="Times New Roman" w:cs="Arial"/>
          <w:color w:val="231F20"/>
          <w:lang w:val="en-US"/>
        </w:rPr>
        <w:t xml:space="preserve"> under the </w:t>
      </w:r>
      <w:r w:rsidRPr="00C83A12">
        <w:rPr>
          <w:rFonts w:eastAsia="Times New Roman" w:cs="Arial"/>
          <w:i/>
          <w:color w:val="231F20"/>
          <w:lang w:val="en-US"/>
        </w:rPr>
        <w:t xml:space="preserve">Fair Work (Registered </w:t>
      </w:r>
      <w:proofErr w:type="spellStart"/>
      <w:r w:rsidRPr="00C83A12">
        <w:rPr>
          <w:rFonts w:eastAsia="Times New Roman" w:cs="Arial"/>
          <w:i/>
          <w:color w:val="231F20"/>
          <w:lang w:val="en-US"/>
        </w:rPr>
        <w:t>Organisations</w:t>
      </w:r>
      <w:proofErr w:type="spellEnd"/>
      <w:r w:rsidRPr="00C83A12">
        <w:rPr>
          <w:rFonts w:eastAsia="Times New Roman" w:cs="Arial"/>
          <w:i/>
          <w:color w:val="231F20"/>
          <w:lang w:val="en-US"/>
        </w:rPr>
        <w:t>) Act 2009</w:t>
      </w:r>
      <w:r w:rsidRPr="00C83A12">
        <w:rPr>
          <w:rFonts w:eastAsia="Times New Roman" w:cs="Arial"/>
          <w:color w:val="231F20"/>
          <w:lang w:val="en-US"/>
        </w:rPr>
        <w:t xml:space="preserve">, LPA has over 400 Members nationally. We represent commercial producers, music promoters, major performing arts companies, small to medium companies, independent producers, major performing arts </w:t>
      </w:r>
      <w:proofErr w:type="spellStart"/>
      <w:r w:rsidRPr="00C83A12">
        <w:rPr>
          <w:rFonts w:eastAsia="Times New Roman" w:cs="Arial"/>
          <w:color w:val="231F20"/>
          <w:lang w:val="en-US"/>
        </w:rPr>
        <w:t>centres</w:t>
      </w:r>
      <w:proofErr w:type="spellEnd"/>
      <w:r w:rsidRPr="00C83A12">
        <w:rPr>
          <w:rFonts w:eastAsia="Times New Roman" w:cs="Arial"/>
          <w:color w:val="231F20"/>
          <w:lang w:val="en-US"/>
        </w:rPr>
        <w:t>, metropolitan and regional venu</w:t>
      </w:r>
      <w:bookmarkStart w:id="2" w:name="_GoBack"/>
      <w:bookmarkEnd w:id="2"/>
      <w:r w:rsidRPr="00C83A12">
        <w:rPr>
          <w:rFonts w:eastAsia="Times New Roman" w:cs="Arial"/>
          <w:color w:val="231F20"/>
          <w:lang w:val="en-US"/>
        </w:rPr>
        <w:t xml:space="preserve">es, commercial theatres, stadiums and arenas, arts festivals, music festivals, and service providers such as ticketing companies and technical suppliers. Our membership spans from small-medium and not-for-profit </w:t>
      </w:r>
      <w:proofErr w:type="spellStart"/>
      <w:r w:rsidRPr="00C83A12">
        <w:rPr>
          <w:rFonts w:eastAsia="Times New Roman" w:cs="Arial"/>
          <w:color w:val="231F20"/>
          <w:lang w:val="en-US"/>
        </w:rPr>
        <w:t>organisations</w:t>
      </w:r>
      <w:proofErr w:type="spellEnd"/>
      <w:r w:rsidRPr="00C83A12">
        <w:rPr>
          <w:rFonts w:eastAsia="Times New Roman" w:cs="Arial"/>
          <w:color w:val="231F20"/>
          <w:lang w:val="en-US"/>
        </w:rPr>
        <w:t xml:space="preserve"> to large commercial entities. </w:t>
      </w:r>
    </w:p>
    <w:p w14:paraId="5ABF0E98" w14:textId="77777777" w:rsidR="007B0533" w:rsidRPr="00C83A12" w:rsidRDefault="007B0533" w:rsidP="000C144D">
      <w:pPr>
        <w:autoSpaceDE w:val="0"/>
        <w:autoSpaceDN w:val="0"/>
        <w:adjustRightInd w:val="0"/>
        <w:spacing w:line="300" w:lineRule="exact"/>
        <w:rPr>
          <w:rFonts w:eastAsia="Times New Roman" w:cs="Arial"/>
          <w:color w:val="231F20"/>
          <w:lang w:val="en-US"/>
        </w:rPr>
      </w:pPr>
    </w:p>
    <w:p w14:paraId="6E9FCCA2" w14:textId="77777777" w:rsidR="007B0533" w:rsidRPr="00C83A12" w:rsidRDefault="007B0533" w:rsidP="000C144D">
      <w:pPr>
        <w:autoSpaceDE w:val="0"/>
        <w:autoSpaceDN w:val="0"/>
        <w:adjustRightInd w:val="0"/>
        <w:spacing w:line="300" w:lineRule="exact"/>
        <w:rPr>
          <w:rFonts w:eastAsia="Times New Roman" w:cs="Arial"/>
          <w:color w:val="231F20"/>
          <w:lang w:val="en-US"/>
        </w:rPr>
      </w:pPr>
      <w:r w:rsidRPr="00C83A12">
        <w:rPr>
          <w:rFonts w:eastAsia="Times New Roman" w:cs="Arial"/>
          <w:color w:val="231F20"/>
          <w:lang w:val="en-US"/>
        </w:rPr>
        <w:t>LPA has a clear mandate to advocate for and support policy decisions that benefit the sustainability and growth of the live performance industry in Australia.</w:t>
      </w:r>
    </w:p>
    <w:p w14:paraId="507192E2" w14:textId="77777777" w:rsidR="004131E1" w:rsidRPr="00C83A12" w:rsidRDefault="004131E1" w:rsidP="000C144D">
      <w:pPr>
        <w:autoSpaceDE w:val="0"/>
        <w:autoSpaceDN w:val="0"/>
        <w:adjustRightInd w:val="0"/>
        <w:spacing w:line="300" w:lineRule="exact"/>
        <w:rPr>
          <w:rFonts w:eastAsia="Times New Roman" w:cs="Arial"/>
          <w:color w:val="231F20"/>
          <w:lang w:val="en-US"/>
        </w:rPr>
      </w:pPr>
    </w:p>
    <w:p w14:paraId="358D0F0D" w14:textId="316EB8B6" w:rsidR="00347AEB" w:rsidRDefault="002376F1" w:rsidP="000C144D">
      <w:pPr>
        <w:autoSpaceDE w:val="0"/>
        <w:autoSpaceDN w:val="0"/>
        <w:adjustRightInd w:val="0"/>
        <w:spacing w:line="300" w:lineRule="exact"/>
        <w:ind w:right="266"/>
        <w:rPr>
          <w:rFonts w:eastAsia="Times New Roman" w:cs="Arial"/>
          <w:b/>
          <w:color w:val="231F20"/>
          <w:sz w:val="18"/>
          <w:szCs w:val="18"/>
        </w:rPr>
      </w:pPr>
      <w:r w:rsidRPr="00B24916">
        <w:rPr>
          <w:rFonts w:cs="Arial"/>
          <w:b/>
          <w:noProof/>
          <w:lang w:eastAsia="en-AU"/>
        </w:rPr>
        <w:drawing>
          <wp:anchor distT="0" distB="0" distL="114300" distR="114300" simplePos="0" relativeHeight="251659264" behindDoc="1" locked="0" layoutInCell="1" allowOverlap="1" wp14:anchorId="038F551F" wp14:editId="2CC14474">
            <wp:simplePos x="0" y="0"/>
            <wp:positionH relativeFrom="column">
              <wp:posOffset>-1203960</wp:posOffset>
            </wp:positionH>
            <wp:positionV relativeFrom="paragraph">
              <wp:posOffset>9260840</wp:posOffset>
            </wp:positionV>
            <wp:extent cx="9144000" cy="549275"/>
            <wp:effectExtent l="0" t="0" r="0" b="3175"/>
            <wp:wrapNone/>
            <wp:docPr id="32" name="Picture 32" descr="AEIA1006_foot_A4landsc#B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EIA1006_foot_A4landsc#B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549275"/>
                    </a:xfrm>
                    <a:prstGeom prst="rect">
                      <a:avLst/>
                    </a:prstGeom>
                    <a:noFill/>
                  </pic:spPr>
                </pic:pic>
              </a:graphicData>
            </a:graphic>
            <wp14:sizeRelH relativeFrom="page">
              <wp14:pctWidth>0</wp14:pctWidth>
            </wp14:sizeRelH>
            <wp14:sizeRelV relativeFrom="page">
              <wp14:pctHeight>0</wp14:pctHeight>
            </wp14:sizeRelV>
          </wp:anchor>
        </w:drawing>
      </w:r>
      <w:r w:rsidRPr="00B24916">
        <w:rPr>
          <w:rFonts w:eastAsia="Times New Roman" w:cs="Arial"/>
          <w:b/>
          <w:color w:val="231F20"/>
          <w:sz w:val="18"/>
          <w:szCs w:val="18"/>
        </w:rPr>
        <w:t>LPA EXECUTIVE COUNCIL</w:t>
      </w:r>
    </w:p>
    <w:p w14:paraId="24F834B3" w14:textId="06EE7805" w:rsidR="002376F1" w:rsidRDefault="002376F1" w:rsidP="000C144D">
      <w:pPr>
        <w:autoSpaceDE w:val="0"/>
        <w:autoSpaceDN w:val="0"/>
        <w:adjustRightInd w:val="0"/>
        <w:spacing w:line="300" w:lineRule="exact"/>
        <w:ind w:right="266"/>
        <w:rPr>
          <w:rFonts w:eastAsia="Times New Roman" w:cs="Arial"/>
          <w:color w:val="231F20"/>
          <w:sz w:val="18"/>
          <w:szCs w:val="18"/>
        </w:rPr>
      </w:pPr>
    </w:p>
    <w:p w14:paraId="51F2E486" w14:textId="77777777" w:rsidR="00347AEB" w:rsidRDefault="00347AEB" w:rsidP="000C144D">
      <w:pPr>
        <w:autoSpaceDE w:val="0"/>
        <w:autoSpaceDN w:val="0"/>
        <w:adjustRightInd w:val="0"/>
        <w:spacing w:line="300" w:lineRule="exact"/>
        <w:ind w:right="266"/>
        <w:rPr>
          <w:rFonts w:eastAsia="Times New Roman" w:cs="Arial"/>
          <w:b/>
          <w:color w:val="231F20"/>
          <w:sz w:val="18"/>
          <w:szCs w:val="18"/>
        </w:rPr>
        <w:sectPr w:rsidR="00347AEB" w:rsidSect="00347AEB">
          <w:footerReference w:type="default" r:id="rId11"/>
          <w:headerReference w:type="first" r:id="rId12"/>
          <w:type w:val="continuous"/>
          <w:pgSz w:w="11899" w:h="16838"/>
          <w:pgMar w:top="1440" w:right="1361" w:bottom="1440" w:left="1758" w:header="709" w:footer="233" w:gutter="0"/>
          <w:cols w:space="708"/>
          <w:titlePg/>
          <w:docGrid w:linePitch="326"/>
        </w:sectPr>
      </w:pPr>
    </w:p>
    <w:p w14:paraId="68488129" w14:textId="75CCEED2"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 xml:space="preserve">Andrew Kay </w:t>
      </w:r>
      <w:r w:rsidRPr="00B24916">
        <w:rPr>
          <w:rFonts w:eastAsia="Times New Roman" w:cs="Arial"/>
          <w:b/>
          <w:i/>
          <w:color w:val="231F20"/>
          <w:sz w:val="18"/>
          <w:szCs w:val="18"/>
        </w:rPr>
        <w:t>(President</w:t>
      </w:r>
      <w:proofErr w:type="gramStart"/>
      <w:r w:rsidRPr="00B24916">
        <w:rPr>
          <w:rFonts w:eastAsia="Times New Roman" w:cs="Arial"/>
          <w:b/>
          <w:i/>
          <w:color w:val="231F20"/>
          <w:sz w:val="18"/>
          <w:szCs w:val="18"/>
        </w:rPr>
        <w:t>)</w:t>
      </w:r>
      <w:proofErr w:type="gramEnd"/>
      <w:r>
        <w:rPr>
          <w:rFonts w:eastAsia="Times New Roman" w:cs="Arial"/>
          <w:color w:val="231F20"/>
          <w:sz w:val="18"/>
          <w:szCs w:val="18"/>
        </w:rPr>
        <w:br/>
        <w:t>Producer</w:t>
      </w:r>
      <w:r>
        <w:rPr>
          <w:rFonts w:eastAsia="Times New Roman" w:cs="Arial"/>
          <w:color w:val="231F20"/>
          <w:sz w:val="18"/>
          <w:szCs w:val="18"/>
        </w:rPr>
        <w:br/>
        <w:t>Andrew Kay &amp; Associates</w:t>
      </w:r>
    </w:p>
    <w:p w14:paraId="408FFCED"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6EE6F3AD"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 xml:space="preserve">John Kotzas </w:t>
      </w:r>
      <w:r w:rsidRPr="00B24916">
        <w:rPr>
          <w:rFonts w:eastAsia="Times New Roman" w:cs="Arial"/>
          <w:b/>
          <w:i/>
          <w:color w:val="231F20"/>
          <w:sz w:val="18"/>
          <w:szCs w:val="18"/>
        </w:rPr>
        <w:t>(Vice-President</w:t>
      </w:r>
      <w:proofErr w:type="gramStart"/>
      <w:r>
        <w:rPr>
          <w:rFonts w:eastAsia="Times New Roman" w:cs="Arial"/>
          <w:b/>
          <w:i/>
          <w:color w:val="231F20"/>
          <w:sz w:val="18"/>
          <w:szCs w:val="18"/>
        </w:rPr>
        <w:t>)</w:t>
      </w:r>
      <w:proofErr w:type="gramEnd"/>
      <w:r>
        <w:rPr>
          <w:rFonts w:eastAsia="Times New Roman" w:cs="Arial"/>
          <w:color w:val="231F20"/>
          <w:sz w:val="18"/>
          <w:szCs w:val="18"/>
        </w:rPr>
        <w:br/>
        <w:t>Chief Executive</w:t>
      </w:r>
      <w:r>
        <w:rPr>
          <w:rFonts w:eastAsia="Times New Roman" w:cs="Arial"/>
          <w:color w:val="231F20"/>
          <w:sz w:val="18"/>
          <w:szCs w:val="18"/>
        </w:rPr>
        <w:br/>
        <w:t>Queensland Performing Arts Centre</w:t>
      </w:r>
    </w:p>
    <w:p w14:paraId="2D1F1D0C"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1DAA301A"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 xml:space="preserve">Maria O’Connor </w:t>
      </w:r>
      <w:r w:rsidRPr="00B24916">
        <w:rPr>
          <w:rFonts w:eastAsia="Times New Roman" w:cs="Arial"/>
          <w:b/>
          <w:i/>
          <w:color w:val="231F20"/>
          <w:sz w:val="18"/>
          <w:szCs w:val="18"/>
        </w:rPr>
        <w:t>(Vice-President</w:t>
      </w:r>
      <w:proofErr w:type="gramStart"/>
      <w:r w:rsidRPr="00B24916">
        <w:rPr>
          <w:rFonts w:eastAsia="Times New Roman" w:cs="Arial"/>
          <w:b/>
          <w:i/>
          <w:color w:val="231F20"/>
          <w:sz w:val="18"/>
          <w:szCs w:val="18"/>
        </w:rPr>
        <w:t>)</w:t>
      </w:r>
      <w:proofErr w:type="gramEnd"/>
      <w:r>
        <w:rPr>
          <w:rFonts w:eastAsia="Times New Roman" w:cs="Arial"/>
          <w:color w:val="231F20"/>
          <w:sz w:val="18"/>
          <w:szCs w:val="18"/>
        </w:rPr>
        <w:br/>
        <w:t>Managing Director</w:t>
      </w:r>
    </w:p>
    <w:p w14:paraId="250407A6"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Pr>
          <w:rFonts w:eastAsia="Times New Roman" w:cs="Arial"/>
          <w:color w:val="231F20"/>
          <w:sz w:val="18"/>
          <w:szCs w:val="18"/>
        </w:rPr>
        <w:t>Ticketmaster Australia &amp; New Zealand</w:t>
      </w:r>
    </w:p>
    <w:p w14:paraId="26A6399B"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51FCC207"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Torben Brookman</w:t>
      </w:r>
      <w:r>
        <w:rPr>
          <w:rFonts w:eastAsia="Times New Roman" w:cs="Arial"/>
          <w:color w:val="231F20"/>
          <w:sz w:val="18"/>
          <w:szCs w:val="18"/>
        </w:rPr>
        <w:br/>
        <w:t>Executive Producer</w:t>
      </w:r>
      <w:r>
        <w:rPr>
          <w:rFonts w:eastAsia="Times New Roman" w:cs="Arial"/>
          <w:color w:val="231F20"/>
          <w:sz w:val="18"/>
          <w:szCs w:val="18"/>
        </w:rPr>
        <w:br/>
        <w:t>Ambassador Theatre Group Asia Pacific</w:t>
      </w:r>
    </w:p>
    <w:p w14:paraId="68AC74C3"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3B083E19"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Bruce Carmichael</w:t>
      </w:r>
      <w:r>
        <w:rPr>
          <w:rFonts w:eastAsia="Times New Roman" w:cs="Arial"/>
          <w:color w:val="231F20"/>
          <w:sz w:val="18"/>
          <w:szCs w:val="18"/>
        </w:rPr>
        <w:br/>
        <w:t>Director</w:t>
      </w:r>
      <w:r>
        <w:rPr>
          <w:rFonts w:eastAsia="Times New Roman" w:cs="Arial"/>
          <w:color w:val="231F20"/>
          <w:sz w:val="18"/>
          <w:szCs w:val="18"/>
        </w:rPr>
        <w:br/>
        <w:t>Canberra Theatre Centre</w:t>
      </w:r>
    </w:p>
    <w:p w14:paraId="46431614"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16B2E4AB"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Michael Cassel</w:t>
      </w:r>
      <w:r>
        <w:rPr>
          <w:rFonts w:eastAsia="Times New Roman" w:cs="Arial"/>
          <w:color w:val="231F20"/>
          <w:sz w:val="18"/>
          <w:szCs w:val="18"/>
        </w:rPr>
        <w:br/>
        <w:t>Director</w:t>
      </w:r>
      <w:r>
        <w:rPr>
          <w:rFonts w:eastAsia="Times New Roman" w:cs="Arial"/>
          <w:color w:val="231F20"/>
          <w:sz w:val="18"/>
          <w:szCs w:val="18"/>
        </w:rPr>
        <w:br/>
        <w:t>Cameron Mackintosh Australia / Michael Cassel Group</w:t>
      </w:r>
    </w:p>
    <w:p w14:paraId="67FB4112" w14:textId="77777777" w:rsidR="002376F1" w:rsidRDefault="002376F1" w:rsidP="00675C7D">
      <w:pPr>
        <w:autoSpaceDE w:val="0"/>
        <w:autoSpaceDN w:val="0"/>
        <w:adjustRightInd w:val="0"/>
        <w:spacing w:line="300" w:lineRule="exact"/>
        <w:ind w:right="44"/>
        <w:rPr>
          <w:rFonts w:eastAsia="Times New Roman" w:cs="Arial"/>
          <w:color w:val="231F20"/>
          <w:sz w:val="18"/>
          <w:szCs w:val="18"/>
        </w:rPr>
      </w:pPr>
    </w:p>
    <w:p w14:paraId="2CFC3E49"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Michael Coppel</w:t>
      </w:r>
      <w:r>
        <w:rPr>
          <w:rFonts w:eastAsia="Times New Roman" w:cs="Arial"/>
          <w:color w:val="231F20"/>
          <w:sz w:val="18"/>
          <w:szCs w:val="18"/>
        </w:rPr>
        <w:br/>
        <w:t>President/CEO</w:t>
      </w:r>
      <w:r>
        <w:rPr>
          <w:rFonts w:eastAsia="Times New Roman" w:cs="Arial"/>
          <w:color w:val="231F20"/>
          <w:sz w:val="18"/>
          <w:szCs w:val="18"/>
        </w:rPr>
        <w:br/>
        <w:t>Live Nation Australasia</w:t>
      </w:r>
    </w:p>
    <w:p w14:paraId="63EE3BD4"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457A0E87"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Richard Evans</w:t>
      </w:r>
      <w:r>
        <w:rPr>
          <w:rFonts w:eastAsia="Times New Roman" w:cs="Arial"/>
          <w:color w:val="231F20"/>
          <w:sz w:val="18"/>
          <w:szCs w:val="18"/>
        </w:rPr>
        <w:br/>
        <w:t>Managing Director</w:t>
      </w:r>
    </w:p>
    <w:p w14:paraId="768C3B10"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Pr>
          <w:rFonts w:eastAsia="Times New Roman" w:cs="Arial"/>
          <w:color w:val="231F20"/>
          <w:sz w:val="18"/>
          <w:szCs w:val="18"/>
        </w:rPr>
        <w:t>Australian Chamber Orchestra</w:t>
      </w:r>
    </w:p>
    <w:p w14:paraId="7CC2D5D6"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59926ADA"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Douglas Gautier AM</w:t>
      </w:r>
      <w:r>
        <w:rPr>
          <w:rFonts w:eastAsia="Times New Roman" w:cs="Arial"/>
          <w:color w:val="231F20"/>
          <w:sz w:val="18"/>
          <w:szCs w:val="18"/>
        </w:rPr>
        <w:br/>
        <w:t>CEO/Artistic Director</w:t>
      </w:r>
      <w:r>
        <w:rPr>
          <w:rFonts w:eastAsia="Times New Roman" w:cs="Arial"/>
          <w:color w:val="231F20"/>
          <w:sz w:val="18"/>
          <w:szCs w:val="18"/>
        </w:rPr>
        <w:br/>
        <w:t>Adelaide Festival Centre</w:t>
      </w:r>
    </w:p>
    <w:p w14:paraId="611A0DA0"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3F89AA90"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Craig Hassall AM</w:t>
      </w:r>
      <w:r>
        <w:rPr>
          <w:rFonts w:eastAsia="Times New Roman" w:cs="Arial"/>
          <w:color w:val="231F20"/>
          <w:sz w:val="18"/>
          <w:szCs w:val="18"/>
        </w:rPr>
        <w:br/>
        <w:t>Chief Executive Officer</w:t>
      </w:r>
      <w:r>
        <w:rPr>
          <w:rFonts w:eastAsia="Times New Roman" w:cs="Arial"/>
          <w:color w:val="231F20"/>
          <w:sz w:val="18"/>
          <w:szCs w:val="18"/>
        </w:rPr>
        <w:br/>
        <w:t>Opera Australia</w:t>
      </w:r>
    </w:p>
    <w:p w14:paraId="1F611E52"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6BD4F89E"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Shirley McGrath</w:t>
      </w:r>
      <w:r>
        <w:rPr>
          <w:rFonts w:eastAsia="Times New Roman" w:cs="Arial"/>
          <w:color w:val="231F20"/>
          <w:sz w:val="18"/>
          <w:szCs w:val="18"/>
        </w:rPr>
        <w:br/>
        <w:t>Finance &amp; Corporate</w:t>
      </w:r>
      <w:r>
        <w:rPr>
          <w:rFonts w:eastAsia="Times New Roman" w:cs="Arial"/>
          <w:color w:val="231F20"/>
          <w:sz w:val="18"/>
          <w:szCs w:val="18"/>
        </w:rPr>
        <w:br/>
        <w:t>Gordon Frost Organisation</w:t>
      </w:r>
    </w:p>
    <w:p w14:paraId="6452B484"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53E4142D"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Tim McGregor</w:t>
      </w:r>
      <w:r>
        <w:rPr>
          <w:rFonts w:eastAsia="Times New Roman" w:cs="Arial"/>
          <w:color w:val="231F20"/>
          <w:sz w:val="18"/>
          <w:szCs w:val="18"/>
        </w:rPr>
        <w:br/>
        <w:t>Group Managing Director</w:t>
      </w:r>
      <w:r>
        <w:rPr>
          <w:rFonts w:eastAsia="Times New Roman" w:cs="Arial"/>
          <w:color w:val="231F20"/>
          <w:sz w:val="18"/>
          <w:szCs w:val="18"/>
        </w:rPr>
        <w:br/>
        <w:t>Dainty Group</w:t>
      </w:r>
    </w:p>
    <w:p w14:paraId="6FE6F596"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0A686345"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Patrick McIntyre</w:t>
      </w:r>
      <w:r>
        <w:rPr>
          <w:rFonts w:eastAsia="Times New Roman" w:cs="Arial"/>
          <w:color w:val="231F20"/>
          <w:sz w:val="18"/>
          <w:szCs w:val="18"/>
        </w:rPr>
        <w:br/>
        <w:t xml:space="preserve">Executive Director </w:t>
      </w:r>
      <w:r>
        <w:rPr>
          <w:rFonts w:eastAsia="Times New Roman" w:cs="Arial"/>
          <w:color w:val="231F20"/>
          <w:sz w:val="18"/>
          <w:szCs w:val="18"/>
        </w:rPr>
        <w:br/>
        <w:t>Sydney Theatre Company</w:t>
      </w:r>
    </w:p>
    <w:p w14:paraId="61B51792"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p>
    <w:p w14:paraId="7B561D25" w14:textId="77777777" w:rsidR="002376F1" w:rsidRDefault="002376F1" w:rsidP="000C144D">
      <w:pPr>
        <w:autoSpaceDE w:val="0"/>
        <w:autoSpaceDN w:val="0"/>
        <w:adjustRightInd w:val="0"/>
        <w:spacing w:line="300" w:lineRule="exact"/>
        <w:ind w:left="-142" w:right="44"/>
        <w:rPr>
          <w:rFonts w:eastAsia="Times New Roman" w:cs="Arial"/>
          <w:color w:val="231F20"/>
          <w:sz w:val="18"/>
          <w:szCs w:val="18"/>
        </w:rPr>
      </w:pPr>
      <w:r w:rsidRPr="00B24916">
        <w:rPr>
          <w:rFonts w:eastAsia="Times New Roman" w:cs="Arial"/>
          <w:b/>
          <w:color w:val="231F20"/>
          <w:sz w:val="18"/>
          <w:szCs w:val="18"/>
        </w:rPr>
        <w:t>Liza McLean</w:t>
      </w:r>
      <w:r>
        <w:rPr>
          <w:rFonts w:eastAsia="Times New Roman" w:cs="Arial"/>
          <w:color w:val="231F20"/>
          <w:sz w:val="18"/>
          <w:szCs w:val="18"/>
        </w:rPr>
        <w:br/>
        <w:t>Director</w:t>
      </w:r>
      <w:r>
        <w:rPr>
          <w:rFonts w:eastAsia="Times New Roman" w:cs="Arial"/>
          <w:color w:val="231F20"/>
          <w:sz w:val="18"/>
          <w:szCs w:val="18"/>
        </w:rPr>
        <w:br/>
        <w:t>Tinderbox Productions</w:t>
      </w:r>
    </w:p>
    <w:p w14:paraId="3B1FF701"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Rod Pilbeam</w:t>
      </w:r>
      <w:r>
        <w:rPr>
          <w:rFonts w:eastAsia="Times New Roman" w:cs="Arial"/>
          <w:color w:val="231F20"/>
          <w:sz w:val="18"/>
          <w:szCs w:val="18"/>
        </w:rPr>
        <w:br/>
        <w:t>Executive Director</w:t>
      </w:r>
      <w:r>
        <w:rPr>
          <w:rFonts w:eastAsia="Times New Roman" w:cs="Arial"/>
          <w:color w:val="231F20"/>
          <w:sz w:val="18"/>
          <w:szCs w:val="18"/>
        </w:rPr>
        <w:br/>
        <w:t>AEG Ogden</w:t>
      </w:r>
    </w:p>
    <w:p w14:paraId="5453B488"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2A41B713"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Claire Spencer</w:t>
      </w:r>
      <w:r>
        <w:rPr>
          <w:rFonts w:eastAsia="Times New Roman" w:cs="Arial"/>
          <w:color w:val="231F20"/>
          <w:sz w:val="18"/>
          <w:szCs w:val="18"/>
        </w:rPr>
        <w:br/>
        <w:t>Chief Executive</w:t>
      </w:r>
      <w:r>
        <w:rPr>
          <w:rFonts w:eastAsia="Times New Roman" w:cs="Arial"/>
          <w:color w:val="231F20"/>
          <w:sz w:val="18"/>
          <w:szCs w:val="18"/>
        </w:rPr>
        <w:br/>
        <w:t>Arts Centre Melbourne</w:t>
      </w:r>
    </w:p>
    <w:p w14:paraId="36191C6F"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7C64A191"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Judy Vince</w:t>
      </w:r>
      <w:r>
        <w:rPr>
          <w:rFonts w:eastAsia="Times New Roman" w:cs="Arial"/>
          <w:color w:val="231F20"/>
          <w:sz w:val="18"/>
          <w:szCs w:val="18"/>
        </w:rPr>
        <w:br/>
        <w:t>General Manager Events &amp; Entertainment</w:t>
      </w:r>
      <w:r>
        <w:rPr>
          <w:rFonts w:eastAsia="Times New Roman" w:cs="Arial"/>
          <w:color w:val="231F20"/>
          <w:sz w:val="18"/>
          <w:szCs w:val="18"/>
        </w:rPr>
        <w:br/>
        <w:t>Crown Perth</w:t>
      </w:r>
    </w:p>
    <w:p w14:paraId="3B973050"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322531A0"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B24916">
        <w:rPr>
          <w:rFonts w:eastAsia="Times New Roman" w:cs="Arial"/>
          <w:b/>
          <w:color w:val="231F20"/>
          <w:sz w:val="18"/>
          <w:szCs w:val="18"/>
        </w:rPr>
        <w:t>Louise Withers</w:t>
      </w:r>
      <w:r>
        <w:rPr>
          <w:rFonts w:eastAsia="Times New Roman" w:cs="Arial"/>
          <w:color w:val="231F20"/>
          <w:sz w:val="18"/>
          <w:szCs w:val="18"/>
        </w:rPr>
        <w:br/>
        <w:t>Managing Director</w:t>
      </w:r>
      <w:r>
        <w:rPr>
          <w:rFonts w:eastAsia="Times New Roman" w:cs="Arial"/>
          <w:color w:val="231F20"/>
          <w:sz w:val="18"/>
          <w:szCs w:val="18"/>
        </w:rPr>
        <w:br/>
        <w:t>Louise Withers &amp; Associates Pty Ltd</w:t>
      </w:r>
    </w:p>
    <w:p w14:paraId="57ED8251"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p>
    <w:p w14:paraId="4DAD4A4C"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C1748A">
        <w:rPr>
          <w:rFonts w:eastAsia="Times New Roman" w:cs="Arial"/>
          <w:b/>
          <w:color w:val="231F20"/>
          <w:sz w:val="18"/>
          <w:szCs w:val="18"/>
        </w:rPr>
        <w:t>Observers</w:t>
      </w:r>
      <w:r>
        <w:rPr>
          <w:rFonts w:eastAsia="Times New Roman" w:cs="Arial"/>
          <w:color w:val="231F20"/>
          <w:sz w:val="18"/>
          <w:szCs w:val="18"/>
        </w:rPr>
        <w:br/>
      </w:r>
      <w:r w:rsidRPr="00C1748A">
        <w:rPr>
          <w:rFonts w:eastAsia="Times New Roman" w:cs="Arial"/>
          <w:b/>
          <w:color w:val="231F20"/>
          <w:sz w:val="18"/>
          <w:szCs w:val="18"/>
        </w:rPr>
        <w:t>Sue Donnelly</w:t>
      </w:r>
      <w:r>
        <w:rPr>
          <w:rFonts w:eastAsia="Times New Roman" w:cs="Arial"/>
          <w:color w:val="231F20"/>
          <w:sz w:val="18"/>
          <w:szCs w:val="18"/>
        </w:rPr>
        <w:t xml:space="preserve"> QTC</w:t>
      </w:r>
    </w:p>
    <w:p w14:paraId="0C081C88"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0A6EC1">
        <w:rPr>
          <w:rFonts w:eastAsia="Times New Roman" w:cs="Arial"/>
          <w:b/>
          <w:color w:val="231F20"/>
          <w:sz w:val="18"/>
          <w:szCs w:val="18"/>
        </w:rPr>
        <w:t>Cameron Hoy</w:t>
      </w:r>
      <w:r>
        <w:rPr>
          <w:rFonts w:eastAsia="Times New Roman" w:cs="Arial"/>
          <w:color w:val="231F20"/>
          <w:sz w:val="18"/>
          <w:szCs w:val="18"/>
        </w:rPr>
        <w:t xml:space="preserve"> </w:t>
      </w:r>
      <w:proofErr w:type="spellStart"/>
      <w:r>
        <w:rPr>
          <w:rFonts w:eastAsia="Times New Roman" w:cs="Arial"/>
          <w:color w:val="231F20"/>
          <w:sz w:val="18"/>
          <w:szCs w:val="18"/>
        </w:rPr>
        <w:t>Ticketek</w:t>
      </w:r>
      <w:proofErr w:type="spellEnd"/>
    </w:p>
    <w:p w14:paraId="2E3B357F"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Pr>
          <w:rFonts w:eastAsia="Times New Roman" w:cs="Arial"/>
          <w:b/>
          <w:color w:val="231F20"/>
          <w:sz w:val="18"/>
          <w:szCs w:val="18"/>
        </w:rPr>
        <w:t>Tim</w:t>
      </w:r>
      <w:r w:rsidRPr="00C1748A">
        <w:rPr>
          <w:rFonts w:eastAsia="Times New Roman" w:cs="Arial"/>
          <w:b/>
          <w:color w:val="231F20"/>
          <w:sz w:val="18"/>
          <w:szCs w:val="18"/>
        </w:rPr>
        <w:t xml:space="preserve"> Munro</w:t>
      </w:r>
      <w:r>
        <w:rPr>
          <w:rFonts w:eastAsia="Times New Roman" w:cs="Arial"/>
          <w:color w:val="231F20"/>
          <w:sz w:val="18"/>
          <w:szCs w:val="18"/>
        </w:rPr>
        <w:t xml:space="preserve"> Theatre Royal </w:t>
      </w:r>
    </w:p>
    <w:p w14:paraId="3080036F"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227BA1">
        <w:rPr>
          <w:rFonts w:eastAsia="Times New Roman" w:cs="Arial"/>
          <w:b/>
          <w:color w:val="231F20"/>
          <w:sz w:val="18"/>
          <w:szCs w:val="18"/>
        </w:rPr>
        <w:t>Ross Cunningham</w:t>
      </w:r>
      <w:r>
        <w:rPr>
          <w:rFonts w:eastAsia="Times New Roman" w:cs="Arial"/>
          <w:color w:val="231F20"/>
          <w:sz w:val="18"/>
          <w:szCs w:val="18"/>
        </w:rPr>
        <w:t xml:space="preserve"> Chair HAAC</w:t>
      </w:r>
    </w:p>
    <w:p w14:paraId="3A1078F0" w14:textId="77777777" w:rsidR="002376F1" w:rsidRDefault="002376F1" w:rsidP="000C144D">
      <w:pPr>
        <w:autoSpaceDE w:val="0"/>
        <w:autoSpaceDN w:val="0"/>
        <w:adjustRightInd w:val="0"/>
        <w:spacing w:line="300" w:lineRule="exact"/>
        <w:ind w:right="44"/>
        <w:rPr>
          <w:rFonts w:eastAsia="Times New Roman" w:cs="Arial"/>
          <w:color w:val="231F20"/>
          <w:sz w:val="18"/>
          <w:szCs w:val="18"/>
        </w:rPr>
      </w:pPr>
      <w:r w:rsidRPr="00227BA1">
        <w:rPr>
          <w:rFonts w:eastAsia="Times New Roman" w:cs="Arial"/>
          <w:b/>
          <w:color w:val="231F20"/>
          <w:sz w:val="18"/>
          <w:szCs w:val="18"/>
        </w:rPr>
        <w:t>Jon Nichol</w:t>
      </w:r>
      <w:r>
        <w:rPr>
          <w:rFonts w:eastAsia="Times New Roman" w:cs="Arial"/>
          <w:b/>
          <w:color w:val="231F20"/>
          <w:sz w:val="18"/>
          <w:szCs w:val="18"/>
        </w:rPr>
        <w:t>l</w:t>
      </w:r>
      <w:r w:rsidRPr="00227BA1">
        <w:rPr>
          <w:rFonts w:eastAsia="Times New Roman" w:cs="Arial"/>
          <w:b/>
          <w:color w:val="231F20"/>
          <w:sz w:val="18"/>
          <w:szCs w:val="18"/>
        </w:rPr>
        <w:t>s</w:t>
      </w:r>
      <w:r>
        <w:rPr>
          <w:rFonts w:eastAsia="Times New Roman" w:cs="Arial"/>
          <w:color w:val="231F20"/>
          <w:sz w:val="18"/>
          <w:szCs w:val="18"/>
        </w:rPr>
        <w:t xml:space="preserve"> HA Exec Producer</w:t>
      </w:r>
    </w:p>
    <w:p w14:paraId="118C8109" w14:textId="397FC525" w:rsidR="00047A8A" w:rsidRPr="000C144D" w:rsidRDefault="002376F1" w:rsidP="000C144D">
      <w:pPr>
        <w:autoSpaceDE w:val="0"/>
        <w:autoSpaceDN w:val="0"/>
        <w:adjustRightInd w:val="0"/>
        <w:spacing w:line="300" w:lineRule="exact"/>
        <w:ind w:right="44"/>
        <w:rPr>
          <w:rFonts w:eastAsia="Times New Roman" w:cs="Arial"/>
          <w:color w:val="231F20"/>
          <w:sz w:val="18"/>
          <w:szCs w:val="18"/>
        </w:rPr>
      </w:pPr>
      <w:r>
        <w:rPr>
          <w:rFonts w:eastAsia="Times New Roman" w:cs="Arial"/>
          <w:b/>
          <w:color w:val="231F20"/>
          <w:sz w:val="18"/>
          <w:szCs w:val="18"/>
        </w:rPr>
        <w:t>Jo Porter</w:t>
      </w:r>
      <w:r w:rsidR="000C144D">
        <w:rPr>
          <w:rFonts w:eastAsia="Times New Roman" w:cs="Arial"/>
          <w:color w:val="231F20"/>
          <w:sz w:val="18"/>
          <w:szCs w:val="18"/>
        </w:rPr>
        <w:t xml:space="preserve"> Back to Back Theatre</w:t>
      </w:r>
    </w:p>
    <w:sectPr w:rsidR="00047A8A" w:rsidRPr="000C144D" w:rsidSect="000C144D">
      <w:type w:val="continuous"/>
      <w:pgSz w:w="11899" w:h="16838"/>
      <w:pgMar w:top="1440" w:right="1361" w:bottom="1440" w:left="1758" w:header="709" w:footer="233" w:gutter="0"/>
      <w:cols w:num="3"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A9ED" w14:textId="77777777" w:rsidR="009352F0" w:rsidRDefault="009352F0">
      <w:r>
        <w:separator/>
      </w:r>
    </w:p>
  </w:endnote>
  <w:endnote w:type="continuationSeparator" w:id="0">
    <w:p w14:paraId="3B6B5EFB" w14:textId="77777777" w:rsidR="009352F0" w:rsidRDefault="009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939671"/>
      <w:docPartObj>
        <w:docPartGallery w:val="Page Numbers (Bottom of Page)"/>
        <w:docPartUnique/>
      </w:docPartObj>
    </w:sdtPr>
    <w:sdtEndPr>
      <w:rPr>
        <w:noProof/>
      </w:rPr>
    </w:sdtEndPr>
    <w:sdtContent>
      <w:p w14:paraId="5731309A" w14:textId="656B978C" w:rsidR="004131E1" w:rsidRDefault="004131E1">
        <w:pPr>
          <w:pStyle w:val="Footer"/>
          <w:jc w:val="center"/>
        </w:pPr>
        <w:r>
          <w:fldChar w:fldCharType="begin"/>
        </w:r>
        <w:r>
          <w:instrText xml:space="preserve"> PAGE   \* MERGEFORMAT </w:instrText>
        </w:r>
        <w:r>
          <w:fldChar w:fldCharType="separate"/>
        </w:r>
        <w:r w:rsidR="00881394">
          <w:rPr>
            <w:noProof/>
          </w:rPr>
          <w:t>6</w:t>
        </w:r>
        <w:r>
          <w:rPr>
            <w:noProof/>
          </w:rPr>
          <w:fldChar w:fldCharType="end"/>
        </w:r>
      </w:p>
    </w:sdtContent>
  </w:sdt>
  <w:p w14:paraId="143A806A" w14:textId="77777777" w:rsidR="004131E1" w:rsidRDefault="00413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5005" w14:textId="77777777" w:rsidR="009352F0" w:rsidRDefault="009352F0">
      <w:r>
        <w:separator/>
      </w:r>
    </w:p>
  </w:footnote>
  <w:footnote w:type="continuationSeparator" w:id="0">
    <w:p w14:paraId="6A27FC21" w14:textId="77777777" w:rsidR="009352F0" w:rsidRDefault="009352F0">
      <w:r>
        <w:continuationSeparator/>
      </w:r>
    </w:p>
  </w:footnote>
  <w:footnote w:id="1">
    <w:p w14:paraId="0310CC5C" w14:textId="376DB16E" w:rsidR="000A4B78" w:rsidRPr="000A4B78" w:rsidRDefault="000A4B78">
      <w:pPr>
        <w:pStyle w:val="FootnoteText"/>
        <w:rPr>
          <w:sz w:val="16"/>
        </w:rPr>
      </w:pPr>
      <w:r w:rsidRPr="000A4B78">
        <w:rPr>
          <w:rStyle w:val="FootnoteReference"/>
          <w:sz w:val="16"/>
        </w:rPr>
        <w:footnoteRef/>
      </w:r>
      <w:r w:rsidRPr="000A4B78">
        <w:rPr>
          <w:sz w:val="16"/>
        </w:rPr>
        <w:t xml:space="preserve"> Ernst and Young (2016), </w:t>
      </w:r>
      <w:r w:rsidRPr="000A4B78">
        <w:rPr>
          <w:i/>
          <w:sz w:val="16"/>
        </w:rPr>
        <w:t>Investment support for the live performance industry</w:t>
      </w:r>
      <w:r w:rsidRPr="000A4B78">
        <w:rPr>
          <w:sz w:val="16"/>
        </w:rPr>
        <w:t xml:space="preserve">, </w:t>
      </w:r>
      <w:r w:rsidR="004B259D">
        <w:rPr>
          <w:sz w:val="16"/>
        </w:rPr>
        <w:t>R</w:t>
      </w:r>
      <w:r>
        <w:rPr>
          <w:sz w:val="16"/>
        </w:rPr>
        <w:t>eport for</w:t>
      </w:r>
      <w:r w:rsidRPr="000A4B78">
        <w:rPr>
          <w:sz w:val="16"/>
        </w:rPr>
        <w:t xml:space="preserve"> Live Performance Australia, </w:t>
      </w:r>
      <w:r w:rsidR="000D766F">
        <w:rPr>
          <w:sz w:val="16"/>
        </w:rPr>
        <w:t xml:space="preserve">      </w:t>
      </w:r>
      <w:r w:rsidRPr="000A4B78">
        <w:rPr>
          <w:sz w:val="16"/>
        </w:rPr>
        <w:t>5</w:t>
      </w:r>
      <w:r w:rsidR="000D766F">
        <w:rPr>
          <w:sz w:val="16"/>
        </w:rPr>
        <w:t xml:space="preserve"> </w:t>
      </w:r>
      <w:r w:rsidRPr="000A4B78">
        <w:rPr>
          <w:sz w:val="16"/>
        </w:rPr>
        <w:t xml:space="preserve">August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147C" w14:textId="31F5A4D7" w:rsidR="004131E1" w:rsidRPr="00D3388A" w:rsidRDefault="004131E1" w:rsidP="004131E1">
    <w:pPr>
      <w:autoSpaceDE w:val="0"/>
      <w:autoSpaceDN w:val="0"/>
      <w:adjustRightInd w:val="0"/>
      <w:spacing w:line="276" w:lineRule="auto"/>
      <w:ind w:right="-178"/>
      <w:jc w:val="right"/>
      <w:rPr>
        <w:rFonts w:cs="Arial"/>
        <w:sz w:val="16"/>
        <w:szCs w:val="16"/>
      </w:rPr>
    </w:pPr>
    <w:r>
      <w:rPr>
        <w:noProof/>
        <w:lang w:eastAsia="en-AU"/>
      </w:rPr>
      <w:drawing>
        <wp:anchor distT="0" distB="0" distL="114300" distR="114300" simplePos="0" relativeHeight="251662336" behindDoc="0" locked="0" layoutInCell="1" allowOverlap="1" wp14:anchorId="78EAC491" wp14:editId="3BC0192D">
          <wp:simplePos x="0" y="0"/>
          <wp:positionH relativeFrom="margin">
            <wp:align>left</wp:align>
          </wp:positionH>
          <wp:positionV relativeFrom="paragraph">
            <wp:posOffset>6985</wp:posOffset>
          </wp:positionV>
          <wp:extent cx="1457325" cy="73152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31520"/>
                  </a:xfrm>
                  <a:prstGeom prst="rect">
                    <a:avLst/>
                  </a:prstGeom>
                  <a:noFill/>
                </pic:spPr>
              </pic:pic>
            </a:graphicData>
          </a:graphic>
        </wp:anchor>
      </w:drawing>
    </w:r>
    <w:r>
      <w:rPr>
        <w:noProof/>
        <w:lang w:eastAsia="en-AU"/>
      </w:rPr>
      <w:drawing>
        <wp:anchor distT="0" distB="0" distL="114300" distR="114300" simplePos="0" relativeHeight="251663360" behindDoc="0" locked="1" layoutInCell="1" allowOverlap="0" wp14:anchorId="16C1D070" wp14:editId="37C19A1B">
          <wp:simplePos x="0" y="0"/>
          <wp:positionH relativeFrom="page">
            <wp:posOffset>2301240</wp:posOffset>
          </wp:positionH>
          <wp:positionV relativeFrom="page">
            <wp:posOffset>10200005</wp:posOffset>
          </wp:positionV>
          <wp:extent cx="2971800" cy="2038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20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88A">
      <w:rPr>
        <w:rFonts w:cs="Arial"/>
        <w:sz w:val="16"/>
        <w:szCs w:val="16"/>
      </w:rPr>
      <w:t>Level 1, 15</w:t>
    </w:r>
    <w:r>
      <w:rPr>
        <w:rFonts w:cs="Arial"/>
        <w:sz w:val="16"/>
        <w:szCs w:val="16"/>
      </w:rPr>
      <w:t>-17</w:t>
    </w:r>
    <w:r w:rsidRPr="00D3388A">
      <w:rPr>
        <w:rFonts w:cs="Arial"/>
        <w:sz w:val="16"/>
        <w:szCs w:val="16"/>
      </w:rPr>
      <w:t xml:space="preserve"> Queen Street</w:t>
    </w:r>
  </w:p>
  <w:p w14:paraId="2854BD14" w14:textId="77777777" w:rsidR="004131E1" w:rsidRPr="00D3388A" w:rsidRDefault="004131E1" w:rsidP="004131E1">
    <w:pPr>
      <w:tabs>
        <w:tab w:val="left" w:pos="2232"/>
      </w:tabs>
      <w:autoSpaceDE w:val="0"/>
      <w:autoSpaceDN w:val="0"/>
      <w:adjustRightInd w:val="0"/>
      <w:spacing w:line="276" w:lineRule="auto"/>
      <w:ind w:right="-178"/>
      <w:jc w:val="right"/>
      <w:rPr>
        <w:rFonts w:cs="Arial"/>
        <w:sz w:val="16"/>
        <w:szCs w:val="16"/>
      </w:rPr>
    </w:pPr>
    <w:r w:rsidRPr="00D3388A">
      <w:rPr>
        <w:rFonts w:cs="Arial"/>
        <w:sz w:val="16"/>
        <w:szCs w:val="16"/>
      </w:rPr>
      <w:t>Melbourne Victoria 3000</w:t>
    </w:r>
  </w:p>
  <w:p w14:paraId="55E66E8C" w14:textId="77777777" w:rsidR="004131E1" w:rsidRPr="00D3388A" w:rsidRDefault="004131E1" w:rsidP="004131E1">
    <w:pPr>
      <w:tabs>
        <w:tab w:val="left" w:pos="2232"/>
      </w:tabs>
      <w:autoSpaceDE w:val="0"/>
      <w:autoSpaceDN w:val="0"/>
      <w:adjustRightInd w:val="0"/>
      <w:spacing w:line="276" w:lineRule="auto"/>
      <w:ind w:right="-178"/>
      <w:jc w:val="right"/>
      <w:rPr>
        <w:rFonts w:cs="Arial"/>
        <w:sz w:val="16"/>
        <w:szCs w:val="16"/>
      </w:rPr>
    </w:pPr>
    <w:proofErr w:type="gramStart"/>
    <w:r w:rsidRPr="009A7B10">
      <w:rPr>
        <w:rFonts w:cs="Arial"/>
        <w:b/>
        <w:sz w:val="16"/>
        <w:szCs w:val="16"/>
      </w:rPr>
      <w:t>T</w:t>
    </w:r>
    <w:r w:rsidRPr="00D3388A">
      <w:rPr>
        <w:rFonts w:cs="Arial"/>
        <w:sz w:val="16"/>
        <w:szCs w:val="16"/>
      </w:rPr>
      <w:t xml:space="preserve">  61</w:t>
    </w:r>
    <w:proofErr w:type="gramEnd"/>
    <w:r w:rsidRPr="00D3388A">
      <w:rPr>
        <w:rFonts w:cs="Arial"/>
        <w:sz w:val="16"/>
        <w:szCs w:val="16"/>
      </w:rPr>
      <w:t xml:space="preserve"> 3 8614 2000</w:t>
    </w:r>
  </w:p>
  <w:p w14:paraId="042BD93D" w14:textId="77777777" w:rsidR="004131E1" w:rsidRPr="00D3388A" w:rsidRDefault="004131E1" w:rsidP="004131E1">
    <w:pPr>
      <w:tabs>
        <w:tab w:val="left" w:pos="2232"/>
      </w:tabs>
      <w:autoSpaceDE w:val="0"/>
      <w:autoSpaceDN w:val="0"/>
      <w:adjustRightInd w:val="0"/>
      <w:spacing w:line="276" w:lineRule="auto"/>
      <w:ind w:right="-178"/>
      <w:jc w:val="right"/>
      <w:rPr>
        <w:rFonts w:cs="Arial"/>
        <w:sz w:val="16"/>
        <w:szCs w:val="16"/>
      </w:rPr>
    </w:pPr>
    <w:proofErr w:type="gramStart"/>
    <w:r w:rsidRPr="009A7B10">
      <w:rPr>
        <w:rFonts w:cs="Arial"/>
        <w:b/>
        <w:sz w:val="16"/>
        <w:szCs w:val="16"/>
      </w:rPr>
      <w:t>F</w:t>
    </w:r>
    <w:r>
      <w:rPr>
        <w:rFonts w:cs="Arial"/>
        <w:b/>
        <w:sz w:val="16"/>
        <w:szCs w:val="16"/>
      </w:rPr>
      <w:t xml:space="preserve"> </w:t>
    </w:r>
    <w:r w:rsidRPr="00D3388A">
      <w:rPr>
        <w:rFonts w:cs="Arial"/>
        <w:sz w:val="16"/>
        <w:szCs w:val="16"/>
      </w:rPr>
      <w:t xml:space="preserve"> 61</w:t>
    </w:r>
    <w:proofErr w:type="gramEnd"/>
    <w:r>
      <w:rPr>
        <w:rFonts w:cs="Arial"/>
        <w:sz w:val="16"/>
        <w:szCs w:val="16"/>
      </w:rPr>
      <w:t xml:space="preserve"> </w:t>
    </w:r>
    <w:r w:rsidRPr="00D3388A">
      <w:rPr>
        <w:rFonts w:cs="Arial"/>
        <w:sz w:val="16"/>
        <w:szCs w:val="16"/>
      </w:rPr>
      <w:t>3 9614 1166</w:t>
    </w:r>
  </w:p>
  <w:p w14:paraId="2139AD9D" w14:textId="77777777" w:rsidR="004131E1" w:rsidRPr="00D3388A" w:rsidRDefault="004131E1" w:rsidP="004131E1">
    <w:pPr>
      <w:tabs>
        <w:tab w:val="left" w:pos="2232"/>
      </w:tabs>
      <w:autoSpaceDE w:val="0"/>
      <w:autoSpaceDN w:val="0"/>
      <w:adjustRightInd w:val="0"/>
      <w:spacing w:line="276" w:lineRule="auto"/>
      <w:ind w:right="-178"/>
      <w:jc w:val="right"/>
      <w:rPr>
        <w:rFonts w:cs="Arial"/>
        <w:sz w:val="16"/>
        <w:szCs w:val="16"/>
      </w:rPr>
    </w:pPr>
    <w:r w:rsidRPr="009A7B10">
      <w:rPr>
        <w:rFonts w:cs="Arial"/>
        <w:b/>
        <w:sz w:val="16"/>
        <w:szCs w:val="16"/>
      </w:rPr>
      <w:t>W</w:t>
    </w:r>
    <w:r w:rsidRPr="00D3388A">
      <w:rPr>
        <w:rFonts w:cs="Arial"/>
        <w:sz w:val="16"/>
        <w:szCs w:val="16"/>
      </w:rPr>
      <w:t xml:space="preserve"> </w:t>
    </w:r>
    <w:hyperlink r:id="rId3" w:history="1">
      <w:r w:rsidRPr="00D3388A">
        <w:rPr>
          <w:rStyle w:val="Hyperlink"/>
          <w:rFonts w:cs="Arial"/>
          <w:sz w:val="16"/>
          <w:szCs w:val="16"/>
        </w:rPr>
        <w:t>www.liveperformance.com.au</w:t>
      </w:r>
    </w:hyperlink>
  </w:p>
  <w:p w14:paraId="3CC61935" w14:textId="77777777" w:rsidR="004131E1" w:rsidRPr="00D36735" w:rsidRDefault="004131E1" w:rsidP="004131E1">
    <w:pPr>
      <w:tabs>
        <w:tab w:val="left" w:pos="2232"/>
      </w:tabs>
      <w:autoSpaceDE w:val="0"/>
      <w:autoSpaceDN w:val="0"/>
      <w:adjustRightInd w:val="0"/>
      <w:spacing w:line="276" w:lineRule="auto"/>
      <w:ind w:right="-178"/>
      <w:jc w:val="right"/>
      <w:rPr>
        <w:rFonts w:eastAsia="Times New Roman" w:cs="Arial"/>
        <w:color w:val="231F20"/>
        <w:sz w:val="16"/>
        <w:szCs w:val="12"/>
      </w:rPr>
    </w:pPr>
    <w:r w:rsidRPr="00D36735">
      <w:rPr>
        <w:rFonts w:cs="Arial"/>
        <w:sz w:val="16"/>
        <w:szCs w:val="12"/>
      </w:rPr>
      <w:t>ABN 43 095 907 857</w:t>
    </w:r>
  </w:p>
  <w:p w14:paraId="39F62948" w14:textId="77777777" w:rsidR="00877529" w:rsidRDefault="00877529" w:rsidP="00987EDC">
    <w:pPr>
      <w:pStyle w:val="Header"/>
      <w:rPr>
        <w:rFonts w:cs="Arial"/>
      </w:rPr>
    </w:pPr>
  </w:p>
  <w:p w14:paraId="339A8A0C" w14:textId="77777777" w:rsidR="00877529" w:rsidRPr="00987EDC" w:rsidRDefault="00877529" w:rsidP="00987EDC">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264"/>
    <w:multiLevelType w:val="hybridMultilevel"/>
    <w:tmpl w:val="4006BB04"/>
    <w:lvl w:ilvl="0" w:tplc="01D82DEE">
      <w:start w:val="1"/>
      <w:numFmt w:val="bullet"/>
      <w:lvlText w:val="-"/>
      <w:lvlJc w:val="left"/>
      <w:pPr>
        <w:ind w:left="76" w:hanging="360"/>
      </w:pPr>
      <w:rPr>
        <w:rFonts w:ascii="Arial" w:eastAsia="Times"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035326B9"/>
    <w:multiLevelType w:val="hybridMultilevel"/>
    <w:tmpl w:val="7310ACE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0A8120C6"/>
    <w:multiLevelType w:val="hybridMultilevel"/>
    <w:tmpl w:val="EF624C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0F491285"/>
    <w:multiLevelType w:val="hybridMultilevel"/>
    <w:tmpl w:val="DF44C5DC"/>
    <w:lvl w:ilvl="0" w:tplc="461AD91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12FC6ECC"/>
    <w:multiLevelType w:val="hybridMultilevel"/>
    <w:tmpl w:val="56CEA064"/>
    <w:lvl w:ilvl="0" w:tplc="EDE40B42">
      <w:start w:val="6"/>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6335B7"/>
    <w:multiLevelType w:val="hybridMultilevel"/>
    <w:tmpl w:val="AA3E76FE"/>
    <w:lvl w:ilvl="0" w:tplc="7266105C">
      <w:start w:val="1"/>
      <w:numFmt w:val="decimal"/>
      <w:lvlText w:val="%1."/>
      <w:lvlJc w:val="left"/>
      <w:pPr>
        <w:ind w:left="436" w:hanging="360"/>
      </w:pPr>
      <w:rPr>
        <w:rFonts w:ascii="Arial" w:eastAsia="Times New Roman" w:hAnsi="Arial" w:cs="Arial"/>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A42024D"/>
    <w:multiLevelType w:val="hybridMultilevel"/>
    <w:tmpl w:val="2D009EAC"/>
    <w:lvl w:ilvl="0" w:tplc="B24CA8E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1FC1709A"/>
    <w:multiLevelType w:val="hybridMultilevel"/>
    <w:tmpl w:val="26480F4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28696F3E"/>
    <w:multiLevelType w:val="hybridMultilevel"/>
    <w:tmpl w:val="13A63D0C"/>
    <w:lvl w:ilvl="0" w:tplc="7C7C1700">
      <w:start w:val="1"/>
      <w:numFmt w:val="decimal"/>
      <w:lvlText w:val="%1."/>
      <w:lvlJc w:val="left"/>
      <w:pPr>
        <w:ind w:left="76" w:hanging="360"/>
      </w:pPr>
      <w:rPr>
        <w:rFonts w:hint="default"/>
        <w:b/>
        <w:color w:val="auto"/>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2EB63503"/>
    <w:multiLevelType w:val="hybridMultilevel"/>
    <w:tmpl w:val="AA946050"/>
    <w:lvl w:ilvl="0" w:tplc="5526F596">
      <w:start w:val="1"/>
      <w:numFmt w:val="decimal"/>
      <w:lvlText w:val="%1."/>
      <w:lvlJc w:val="left"/>
      <w:pPr>
        <w:ind w:left="436" w:hanging="360"/>
      </w:pPr>
      <w:rPr>
        <w:rFonts w:ascii="Arial" w:eastAsia="Times" w:hAnsi="Arial" w:cs="Arial"/>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310E2E0C"/>
    <w:multiLevelType w:val="hybridMultilevel"/>
    <w:tmpl w:val="32E264A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328F434B"/>
    <w:multiLevelType w:val="hybridMultilevel"/>
    <w:tmpl w:val="CAAA4FA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32B100E8"/>
    <w:multiLevelType w:val="hybridMultilevel"/>
    <w:tmpl w:val="CC42B58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36FE5DCE"/>
    <w:multiLevelType w:val="hybridMultilevel"/>
    <w:tmpl w:val="A08C967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38AB2D62"/>
    <w:multiLevelType w:val="hybridMultilevel"/>
    <w:tmpl w:val="820EB82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3AE10DCE"/>
    <w:multiLevelType w:val="hybridMultilevel"/>
    <w:tmpl w:val="ADC2A1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412A2BDC"/>
    <w:multiLevelType w:val="hybridMultilevel"/>
    <w:tmpl w:val="9280C9D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430E38E2"/>
    <w:multiLevelType w:val="hybridMultilevel"/>
    <w:tmpl w:val="F0A0BDC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4356002E"/>
    <w:multiLevelType w:val="hybridMultilevel"/>
    <w:tmpl w:val="D354F1BE"/>
    <w:lvl w:ilvl="0" w:tplc="E4C4B57C">
      <w:start w:val="201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542F1"/>
    <w:multiLevelType w:val="hybridMultilevel"/>
    <w:tmpl w:val="912A8906"/>
    <w:lvl w:ilvl="0" w:tplc="0C090001">
      <w:start w:val="1"/>
      <w:numFmt w:val="bullet"/>
      <w:lvlText w:val=""/>
      <w:lvlJc w:val="left"/>
      <w:pPr>
        <w:ind w:left="450" w:hanging="360"/>
      </w:pPr>
      <w:rPr>
        <w:rFonts w:ascii="Symbol" w:hAnsi="Symbo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20" w15:restartNumberingAfterBreak="0">
    <w:nsid w:val="46A87128"/>
    <w:multiLevelType w:val="hybridMultilevel"/>
    <w:tmpl w:val="DA045F20"/>
    <w:lvl w:ilvl="0" w:tplc="C1E616B0">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1" w15:restartNumberingAfterBreak="0">
    <w:nsid w:val="4B6110CB"/>
    <w:multiLevelType w:val="multilevel"/>
    <w:tmpl w:val="1F9044EC"/>
    <w:lvl w:ilvl="0">
      <w:start w:val="1"/>
      <w:numFmt w:val="decimal"/>
      <w:lvlText w:val="%1."/>
      <w:lvlJc w:val="left"/>
      <w:pPr>
        <w:ind w:left="90" w:hanging="360"/>
      </w:pPr>
      <w:rPr>
        <w:rFonts w:hint="default"/>
      </w:rPr>
    </w:lvl>
    <w:lvl w:ilvl="1">
      <w:start w:val="1"/>
      <w:numFmt w:val="decimal"/>
      <w:isLgl/>
      <w:lvlText w:val="%1.%2"/>
      <w:lvlJc w:val="left"/>
      <w:pPr>
        <w:ind w:left="90" w:hanging="360"/>
      </w:pPr>
      <w:rPr>
        <w:rFonts w:hint="default"/>
      </w:rPr>
    </w:lvl>
    <w:lvl w:ilvl="2">
      <w:start w:val="1"/>
      <w:numFmt w:val="decimal"/>
      <w:isLgl/>
      <w:lvlText w:val="%1.%2.%3"/>
      <w:lvlJc w:val="left"/>
      <w:pPr>
        <w:ind w:left="450" w:hanging="720"/>
      </w:pPr>
      <w:rPr>
        <w:rFonts w:hint="default"/>
      </w:rPr>
    </w:lvl>
    <w:lvl w:ilvl="3">
      <w:start w:val="1"/>
      <w:numFmt w:val="decimal"/>
      <w:isLgl/>
      <w:lvlText w:val="%1.%2.%3.%4"/>
      <w:lvlJc w:val="left"/>
      <w:pPr>
        <w:ind w:left="450" w:hanging="720"/>
      </w:pPr>
      <w:rPr>
        <w:rFonts w:hint="default"/>
      </w:rPr>
    </w:lvl>
    <w:lvl w:ilvl="4">
      <w:start w:val="1"/>
      <w:numFmt w:val="decimal"/>
      <w:isLgl/>
      <w:lvlText w:val="%1.%2.%3.%4.%5"/>
      <w:lvlJc w:val="left"/>
      <w:pPr>
        <w:ind w:left="810" w:hanging="1080"/>
      </w:pPr>
      <w:rPr>
        <w:rFonts w:hint="default"/>
      </w:rPr>
    </w:lvl>
    <w:lvl w:ilvl="5">
      <w:start w:val="1"/>
      <w:numFmt w:val="decimal"/>
      <w:isLgl/>
      <w:lvlText w:val="%1.%2.%3.%4.%5.%6"/>
      <w:lvlJc w:val="left"/>
      <w:pPr>
        <w:ind w:left="810" w:hanging="1080"/>
      </w:pPr>
      <w:rPr>
        <w:rFonts w:hint="default"/>
      </w:rPr>
    </w:lvl>
    <w:lvl w:ilvl="6">
      <w:start w:val="1"/>
      <w:numFmt w:val="decimal"/>
      <w:isLgl/>
      <w:lvlText w:val="%1.%2.%3.%4.%5.%6.%7"/>
      <w:lvlJc w:val="left"/>
      <w:pPr>
        <w:ind w:left="1170" w:hanging="1440"/>
      </w:pPr>
      <w:rPr>
        <w:rFonts w:hint="default"/>
      </w:rPr>
    </w:lvl>
    <w:lvl w:ilvl="7">
      <w:start w:val="1"/>
      <w:numFmt w:val="decimal"/>
      <w:isLgl/>
      <w:lvlText w:val="%1.%2.%3.%4.%5.%6.%7.%8"/>
      <w:lvlJc w:val="left"/>
      <w:pPr>
        <w:ind w:left="1170" w:hanging="1440"/>
      </w:pPr>
      <w:rPr>
        <w:rFonts w:hint="default"/>
      </w:rPr>
    </w:lvl>
    <w:lvl w:ilvl="8">
      <w:start w:val="1"/>
      <w:numFmt w:val="decimal"/>
      <w:isLgl/>
      <w:lvlText w:val="%1.%2.%3.%4.%5.%6.%7.%8.%9"/>
      <w:lvlJc w:val="left"/>
      <w:pPr>
        <w:ind w:left="1530" w:hanging="1800"/>
      </w:pPr>
      <w:rPr>
        <w:rFonts w:hint="default"/>
      </w:rPr>
    </w:lvl>
  </w:abstractNum>
  <w:abstractNum w:abstractNumId="22" w15:restartNumberingAfterBreak="0">
    <w:nsid w:val="4EE728B3"/>
    <w:multiLevelType w:val="hybridMultilevel"/>
    <w:tmpl w:val="0A34C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BD605A"/>
    <w:multiLevelType w:val="hybridMultilevel"/>
    <w:tmpl w:val="54547D3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4" w15:restartNumberingAfterBreak="0">
    <w:nsid w:val="585861A3"/>
    <w:multiLevelType w:val="hybridMultilevel"/>
    <w:tmpl w:val="922E642A"/>
    <w:lvl w:ilvl="0" w:tplc="87D44530">
      <w:start w:val="1"/>
      <w:numFmt w:val="decimal"/>
      <w:lvlText w:val="%1."/>
      <w:lvlJc w:val="left"/>
      <w:pPr>
        <w:ind w:left="90" w:hanging="360"/>
      </w:pPr>
      <w:rPr>
        <w:rFonts w:hint="default"/>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25" w15:restartNumberingAfterBreak="0">
    <w:nsid w:val="653F6701"/>
    <w:multiLevelType w:val="hybridMultilevel"/>
    <w:tmpl w:val="B3E4E16A"/>
    <w:lvl w:ilvl="0" w:tplc="320A3A5E">
      <w:start w:val="1"/>
      <w:numFmt w:val="lowerLetter"/>
      <w:lvlText w:val="%1)"/>
      <w:lvlJc w:val="left"/>
      <w:pPr>
        <w:ind w:left="489" w:hanging="360"/>
      </w:pPr>
      <w:rPr>
        <w:b/>
      </w:rPr>
    </w:lvl>
    <w:lvl w:ilvl="1" w:tplc="0C090019" w:tentative="1">
      <w:start w:val="1"/>
      <w:numFmt w:val="lowerLetter"/>
      <w:lvlText w:val="%2."/>
      <w:lvlJc w:val="left"/>
      <w:pPr>
        <w:ind w:left="1209" w:hanging="360"/>
      </w:pPr>
    </w:lvl>
    <w:lvl w:ilvl="2" w:tplc="0C09001B" w:tentative="1">
      <w:start w:val="1"/>
      <w:numFmt w:val="lowerRoman"/>
      <w:lvlText w:val="%3."/>
      <w:lvlJc w:val="right"/>
      <w:pPr>
        <w:ind w:left="1929" w:hanging="180"/>
      </w:pPr>
    </w:lvl>
    <w:lvl w:ilvl="3" w:tplc="0C09000F" w:tentative="1">
      <w:start w:val="1"/>
      <w:numFmt w:val="decimal"/>
      <w:lvlText w:val="%4."/>
      <w:lvlJc w:val="left"/>
      <w:pPr>
        <w:ind w:left="2649" w:hanging="360"/>
      </w:pPr>
    </w:lvl>
    <w:lvl w:ilvl="4" w:tplc="0C090019" w:tentative="1">
      <w:start w:val="1"/>
      <w:numFmt w:val="lowerLetter"/>
      <w:lvlText w:val="%5."/>
      <w:lvlJc w:val="left"/>
      <w:pPr>
        <w:ind w:left="3369" w:hanging="360"/>
      </w:pPr>
    </w:lvl>
    <w:lvl w:ilvl="5" w:tplc="0C09001B" w:tentative="1">
      <w:start w:val="1"/>
      <w:numFmt w:val="lowerRoman"/>
      <w:lvlText w:val="%6."/>
      <w:lvlJc w:val="right"/>
      <w:pPr>
        <w:ind w:left="4089" w:hanging="180"/>
      </w:pPr>
    </w:lvl>
    <w:lvl w:ilvl="6" w:tplc="0C09000F" w:tentative="1">
      <w:start w:val="1"/>
      <w:numFmt w:val="decimal"/>
      <w:lvlText w:val="%7."/>
      <w:lvlJc w:val="left"/>
      <w:pPr>
        <w:ind w:left="4809" w:hanging="360"/>
      </w:pPr>
    </w:lvl>
    <w:lvl w:ilvl="7" w:tplc="0C090019" w:tentative="1">
      <w:start w:val="1"/>
      <w:numFmt w:val="lowerLetter"/>
      <w:lvlText w:val="%8."/>
      <w:lvlJc w:val="left"/>
      <w:pPr>
        <w:ind w:left="5529" w:hanging="360"/>
      </w:pPr>
    </w:lvl>
    <w:lvl w:ilvl="8" w:tplc="0C09001B" w:tentative="1">
      <w:start w:val="1"/>
      <w:numFmt w:val="lowerRoman"/>
      <w:lvlText w:val="%9."/>
      <w:lvlJc w:val="right"/>
      <w:pPr>
        <w:ind w:left="6249" w:hanging="180"/>
      </w:pPr>
    </w:lvl>
  </w:abstractNum>
  <w:abstractNum w:abstractNumId="26" w15:restartNumberingAfterBreak="0">
    <w:nsid w:val="66D70C44"/>
    <w:multiLevelType w:val="hybridMultilevel"/>
    <w:tmpl w:val="F4F296B4"/>
    <w:lvl w:ilvl="0" w:tplc="F05EFD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9663AD6"/>
    <w:multiLevelType w:val="hybridMultilevel"/>
    <w:tmpl w:val="A7F27C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8" w15:restartNumberingAfterBreak="0">
    <w:nsid w:val="6C2E6E6C"/>
    <w:multiLevelType w:val="hybridMultilevel"/>
    <w:tmpl w:val="233054C2"/>
    <w:lvl w:ilvl="0" w:tplc="2B1400D4">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9" w15:restartNumberingAfterBreak="0">
    <w:nsid w:val="6CA1196F"/>
    <w:multiLevelType w:val="hybridMultilevel"/>
    <w:tmpl w:val="DDF81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DC97BA8"/>
    <w:multiLevelType w:val="hybridMultilevel"/>
    <w:tmpl w:val="6D50F54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1" w15:restartNumberingAfterBreak="0">
    <w:nsid w:val="704B3B72"/>
    <w:multiLevelType w:val="multilevel"/>
    <w:tmpl w:val="A2AC26F8"/>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b/>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2" w15:restartNumberingAfterBreak="0">
    <w:nsid w:val="712614CD"/>
    <w:multiLevelType w:val="hybridMultilevel"/>
    <w:tmpl w:val="9A72B0C6"/>
    <w:lvl w:ilvl="0" w:tplc="4AE23272">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3" w15:restartNumberingAfterBreak="0">
    <w:nsid w:val="78471D4B"/>
    <w:multiLevelType w:val="hybridMultilevel"/>
    <w:tmpl w:val="E498295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 w15:restartNumberingAfterBreak="0">
    <w:nsid w:val="7DAF041D"/>
    <w:multiLevelType w:val="multilevel"/>
    <w:tmpl w:val="026420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1"/>
  </w:num>
  <w:num w:numId="3">
    <w:abstractNumId w:val="4"/>
  </w:num>
  <w:num w:numId="4">
    <w:abstractNumId w:val="34"/>
  </w:num>
  <w:num w:numId="5">
    <w:abstractNumId w:val="33"/>
  </w:num>
  <w:num w:numId="6">
    <w:abstractNumId w:val="20"/>
  </w:num>
  <w:num w:numId="7">
    <w:abstractNumId w:val="7"/>
  </w:num>
  <w:num w:numId="8">
    <w:abstractNumId w:val="1"/>
  </w:num>
  <w:num w:numId="9">
    <w:abstractNumId w:val="24"/>
  </w:num>
  <w:num w:numId="10">
    <w:abstractNumId w:val="23"/>
  </w:num>
  <w:num w:numId="11">
    <w:abstractNumId w:val="5"/>
  </w:num>
  <w:num w:numId="12">
    <w:abstractNumId w:val="14"/>
  </w:num>
  <w:num w:numId="13">
    <w:abstractNumId w:val="30"/>
  </w:num>
  <w:num w:numId="14">
    <w:abstractNumId w:val="27"/>
  </w:num>
  <w:num w:numId="15">
    <w:abstractNumId w:val="13"/>
  </w:num>
  <w:num w:numId="16">
    <w:abstractNumId w:val="17"/>
  </w:num>
  <w:num w:numId="17">
    <w:abstractNumId w:val="10"/>
  </w:num>
  <w:num w:numId="18">
    <w:abstractNumId w:val="25"/>
  </w:num>
  <w:num w:numId="19">
    <w:abstractNumId w:val="26"/>
  </w:num>
  <w:num w:numId="20">
    <w:abstractNumId w:val="8"/>
  </w:num>
  <w:num w:numId="21">
    <w:abstractNumId w:val="0"/>
  </w:num>
  <w:num w:numId="22">
    <w:abstractNumId w:val="11"/>
  </w:num>
  <w:num w:numId="23">
    <w:abstractNumId w:val="21"/>
  </w:num>
  <w:num w:numId="24">
    <w:abstractNumId w:val="19"/>
  </w:num>
  <w:num w:numId="25">
    <w:abstractNumId w:val="15"/>
  </w:num>
  <w:num w:numId="26">
    <w:abstractNumId w:val="3"/>
  </w:num>
  <w:num w:numId="27">
    <w:abstractNumId w:val="2"/>
  </w:num>
  <w:num w:numId="28">
    <w:abstractNumId w:val="28"/>
  </w:num>
  <w:num w:numId="29">
    <w:abstractNumId w:val="32"/>
  </w:num>
  <w:num w:numId="30">
    <w:abstractNumId w:val="6"/>
  </w:num>
  <w:num w:numId="31">
    <w:abstractNumId w:val="16"/>
  </w:num>
  <w:num w:numId="32">
    <w:abstractNumId w:val="29"/>
  </w:num>
  <w:num w:numId="33">
    <w:abstractNumId w:val="12"/>
  </w:num>
  <w:num w:numId="34">
    <w:abstractNumId w:val="18"/>
  </w:num>
  <w:num w:numId="3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F0"/>
    <w:rsid w:val="00000E9D"/>
    <w:rsid w:val="000028BD"/>
    <w:rsid w:val="00002A44"/>
    <w:rsid w:val="00004618"/>
    <w:rsid w:val="000063DC"/>
    <w:rsid w:val="00006634"/>
    <w:rsid w:val="000103B4"/>
    <w:rsid w:val="00011E40"/>
    <w:rsid w:val="0001382F"/>
    <w:rsid w:val="00020104"/>
    <w:rsid w:val="000256FC"/>
    <w:rsid w:val="000268CF"/>
    <w:rsid w:val="00030022"/>
    <w:rsid w:val="00031F09"/>
    <w:rsid w:val="0003282E"/>
    <w:rsid w:val="00037B07"/>
    <w:rsid w:val="00041213"/>
    <w:rsid w:val="000434D2"/>
    <w:rsid w:val="000436C0"/>
    <w:rsid w:val="0004448C"/>
    <w:rsid w:val="00047A8A"/>
    <w:rsid w:val="0005154C"/>
    <w:rsid w:val="00054504"/>
    <w:rsid w:val="00055C83"/>
    <w:rsid w:val="00060169"/>
    <w:rsid w:val="00060D5E"/>
    <w:rsid w:val="00061E8E"/>
    <w:rsid w:val="00062DAA"/>
    <w:rsid w:val="000701F6"/>
    <w:rsid w:val="00070F35"/>
    <w:rsid w:val="000711CF"/>
    <w:rsid w:val="00071ED2"/>
    <w:rsid w:val="00072104"/>
    <w:rsid w:val="000723FF"/>
    <w:rsid w:val="00075D50"/>
    <w:rsid w:val="000815AD"/>
    <w:rsid w:val="00081846"/>
    <w:rsid w:val="00081B9F"/>
    <w:rsid w:val="00083008"/>
    <w:rsid w:val="0008691B"/>
    <w:rsid w:val="00093264"/>
    <w:rsid w:val="00093775"/>
    <w:rsid w:val="00093B2D"/>
    <w:rsid w:val="000A0410"/>
    <w:rsid w:val="000A1708"/>
    <w:rsid w:val="000A22AD"/>
    <w:rsid w:val="000A2318"/>
    <w:rsid w:val="000A3E87"/>
    <w:rsid w:val="000A45AD"/>
    <w:rsid w:val="000A4B78"/>
    <w:rsid w:val="000A6682"/>
    <w:rsid w:val="000B31D6"/>
    <w:rsid w:val="000B39D7"/>
    <w:rsid w:val="000B4529"/>
    <w:rsid w:val="000B4CDE"/>
    <w:rsid w:val="000B5C01"/>
    <w:rsid w:val="000C144D"/>
    <w:rsid w:val="000C1609"/>
    <w:rsid w:val="000C1B5D"/>
    <w:rsid w:val="000D0114"/>
    <w:rsid w:val="000D56F9"/>
    <w:rsid w:val="000D766F"/>
    <w:rsid w:val="000E0888"/>
    <w:rsid w:val="000E1F85"/>
    <w:rsid w:val="000F46A2"/>
    <w:rsid w:val="000F4A76"/>
    <w:rsid w:val="000F789D"/>
    <w:rsid w:val="001002DA"/>
    <w:rsid w:val="00103E69"/>
    <w:rsid w:val="0011549D"/>
    <w:rsid w:val="001161A2"/>
    <w:rsid w:val="0011665D"/>
    <w:rsid w:val="00116B79"/>
    <w:rsid w:val="00117906"/>
    <w:rsid w:val="00122806"/>
    <w:rsid w:val="00123723"/>
    <w:rsid w:val="001261C3"/>
    <w:rsid w:val="00130675"/>
    <w:rsid w:val="00131819"/>
    <w:rsid w:val="00131C7A"/>
    <w:rsid w:val="00132438"/>
    <w:rsid w:val="0013380F"/>
    <w:rsid w:val="001374C7"/>
    <w:rsid w:val="001405B6"/>
    <w:rsid w:val="001409DA"/>
    <w:rsid w:val="00140BE9"/>
    <w:rsid w:val="001424D8"/>
    <w:rsid w:val="00143987"/>
    <w:rsid w:val="00144417"/>
    <w:rsid w:val="00144EB7"/>
    <w:rsid w:val="00147B67"/>
    <w:rsid w:val="00152DD2"/>
    <w:rsid w:val="00154440"/>
    <w:rsid w:val="00161A53"/>
    <w:rsid w:val="00162E79"/>
    <w:rsid w:val="001636BD"/>
    <w:rsid w:val="00166316"/>
    <w:rsid w:val="001668A9"/>
    <w:rsid w:val="001668C6"/>
    <w:rsid w:val="00170320"/>
    <w:rsid w:val="0017301C"/>
    <w:rsid w:val="001734F3"/>
    <w:rsid w:val="00174C1E"/>
    <w:rsid w:val="00175830"/>
    <w:rsid w:val="00176386"/>
    <w:rsid w:val="001805B3"/>
    <w:rsid w:val="00184E8D"/>
    <w:rsid w:val="00187EAB"/>
    <w:rsid w:val="0019098D"/>
    <w:rsid w:val="0019131D"/>
    <w:rsid w:val="00192E16"/>
    <w:rsid w:val="001930AA"/>
    <w:rsid w:val="001A0CF4"/>
    <w:rsid w:val="001A1130"/>
    <w:rsid w:val="001A345E"/>
    <w:rsid w:val="001A6B46"/>
    <w:rsid w:val="001B15FB"/>
    <w:rsid w:val="001B35F3"/>
    <w:rsid w:val="001B3AB6"/>
    <w:rsid w:val="001C23AA"/>
    <w:rsid w:val="001C2AA6"/>
    <w:rsid w:val="001D01F8"/>
    <w:rsid w:val="001D0743"/>
    <w:rsid w:val="001D2282"/>
    <w:rsid w:val="001D3F5F"/>
    <w:rsid w:val="001D4A44"/>
    <w:rsid w:val="001D5DBE"/>
    <w:rsid w:val="001D5F17"/>
    <w:rsid w:val="001D72C1"/>
    <w:rsid w:val="001E2843"/>
    <w:rsid w:val="001E4B1E"/>
    <w:rsid w:val="001E564E"/>
    <w:rsid w:val="001E5CA9"/>
    <w:rsid w:val="001F29EB"/>
    <w:rsid w:val="001F33E9"/>
    <w:rsid w:val="001F3FA8"/>
    <w:rsid w:val="001F55BA"/>
    <w:rsid w:val="001F6715"/>
    <w:rsid w:val="002012B4"/>
    <w:rsid w:val="0020687E"/>
    <w:rsid w:val="00221B10"/>
    <w:rsid w:val="00225646"/>
    <w:rsid w:val="00225C14"/>
    <w:rsid w:val="002278C6"/>
    <w:rsid w:val="00231567"/>
    <w:rsid w:val="002323F8"/>
    <w:rsid w:val="002326D7"/>
    <w:rsid w:val="00233E80"/>
    <w:rsid w:val="00235527"/>
    <w:rsid w:val="00236489"/>
    <w:rsid w:val="00236837"/>
    <w:rsid w:val="00237602"/>
    <w:rsid w:val="002376F1"/>
    <w:rsid w:val="00240157"/>
    <w:rsid w:val="00253FD2"/>
    <w:rsid w:val="00255F9E"/>
    <w:rsid w:val="00261A87"/>
    <w:rsid w:val="00263F4F"/>
    <w:rsid w:val="00266AA3"/>
    <w:rsid w:val="00266C20"/>
    <w:rsid w:val="00267131"/>
    <w:rsid w:val="00270228"/>
    <w:rsid w:val="00270959"/>
    <w:rsid w:val="00275B23"/>
    <w:rsid w:val="002820DC"/>
    <w:rsid w:val="00284BB3"/>
    <w:rsid w:val="002866EF"/>
    <w:rsid w:val="00287341"/>
    <w:rsid w:val="00287FA6"/>
    <w:rsid w:val="00291F72"/>
    <w:rsid w:val="0029500E"/>
    <w:rsid w:val="0029564F"/>
    <w:rsid w:val="002977F9"/>
    <w:rsid w:val="002A3185"/>
    <w:rsid w:val="002A3829"/>
    <w:rsid w:val="002A4213"/>
    <w:rsid w:val="002A59B0"/>
    <w:rsid w:val="002A66E7"/>
    <w:rsid w:val="002A6F0C"/>
    <w:rsid w:val="002A6FB5"/>
    <w:rsid w:val="002B071E"/>
    <w:rsid w:val="002B107F"/>
    <w:rsid w:val="002B30A4"/>
    <w:rsid w:val="002B5801"/>
    <w:rsid w:val="002C022E"/>
    <w:rsid w:val="002C109E"/>
    <w:rsid w:val="002C17DC"/>
    <w:rsid w:val="002C5440"/>
    <w:rsid w:val="002C7F21"/>
    <w:rsid w:val="002D31C8"/>
    <w:rsid w:val="002D5D4D"/>
    <w:rsid w:val="002D60EA"/>
    <w:rsid w:val="002E22FE"/>
    <w:rsid w:val="002E4522"/>
    <w:rsid w:val="002F0337"/>
    <w:rsid w:val="0030527B"/>
    <w:rsid w:val="00311160"/>
    <w:rsid w:val="0031331C"/>
    <w:rsid w:val="00314A42"/>
    <w:rsid w:val="0031582B"/>
    <w:rsid w:val="00316055"/>
    <w:rsid w:val="00317119"/>
    <w:rsid w:val="00327537"/>
    <w:rsid w:val="00327719"/>
    <w:rsid w:val="003324E5"/>
    <w:rsid w:val="003429A6"/>
    <w:rsid w:val="0034302A"/>
    <w:rsid w:val="0034473D"/>
    <w:rsid w:val="00347AEB"/>
    <w:rsid w:val="00347E71"/>
    <w:rsid w:val="0035123C"/>
    <w:rsid w:val="003521A8"/>
    <w:rsid w:val="0035243C"/>
    <w:rsid w:val="00354286"/>
    <w:rsid w:val="00355047"/>
    <w:rsid w:val="003577F7"/>
    <w:rsid w:val="0036156F"/>
    <w:rsid w:val="00361DAD"/>
    <w:rsid w:val="00363ED3"/>
    <w:rsid w:val="00364C10"/>
    <w:rsid w:val="00365BCE"/>
    <w:rsid w:val="00366FA3"/>
    <w:rsid w:val="003716E6"/>
    <w:rsid w:val="00372A27"/>
    <w:rsid w:val="00373037"/>
    <w:rsid w:val="003762CA"/>
    <w:rsid w:val="0037773C"/>
    <w:rsid w:val="0038171E"/>
    <w:rsid w:val="00384C68"/>
    <w:rsid w:val="00392023"/>
    <w:rsid w:val="003950CF"/>
    <w:rsid w:val="0039637C"/>
    <w:rsid w:val="003A0D5A"/>
    <w:rsid w:val="003A3C5D"/>
    <w:rsid w:val="003A5960"/>
    <w:rsid w:val="003A5A73"/>
    <w:rsid w:val="003A76EE"/>
    <w:rsid w:val="003A79C3"/>
    <w:rsid w:val="003B168D"/>
    <w:rsid w:val="003B403E"/>
    <w:rsid w:val="003B4C5F"/>
    <w:rsid w:val="003B78CC"/>
    <w:rsid w:val="003C1729"/>
    <w:rsid w:val="003C3E31"/>
    <w:rsid w:val="003D0F3B"/>
    <w:rsid w:val="003D2CF0"/>
    <w:rsid w:val="003D33D6"/>
    <w:rsid w:val="003E46AC"/>
    <w:rsid w:val="003E6064"/>
    <w:rsid w:val="003F1A66"/>
    <w:rsid w:val="003F3ABC"/>
    <w:rsid w:val="003F443E"/>
    <w:rsid w:val="003F63F4"/>
    <w:rsid w:val="003F6672"/>
    <w:rsid w:val="003F6678"/>
    <w:rsid w:val="003F711D"/>
    <w:rsid w:val="003F7783"/>
    <w:rsid w:val="00402F89"/>
    <w:rsid w:val="0040318B"/>
    <w:rsid w:val="0040457F"/>
    <w:rsid w:val="00411373"/>
    <w:rsid w:val="004131E1"/>
    <w:rsid w:val="00417EFE"/>
    <w:rsid w:val="00422EA5"/>
    <w:rsid w:val="00424736"/>
    <w:rsid w:val="004332CB"/>
    <w:rsid w:val="00433D64"/>
    <w:rsid w:val="00433F49"/>
    <w:rsid w:val="00437D25"/>
    <w:rsid w:val="00437D7B"/>
    <w:rsid w:val="00440798"/>
    <w:rsid w:val="00443318"/>
    <w:rsid w:val="0045000C"/>
    <w:rsid w:val="00452D3E"/>
    <w:rsid w:val="004559C2"/>
    <w:rsid w:val="004607D6"/>
    <w:rsid w:val="00461711"/>
    <w:rsid w:val="004623C0"/>
    <w:rsid w:val="0046485A"/>
    <w:rsid w:val="004665F6"/>
    <w:rsid w:val="004745FC"/>
    <w:rsid w:val="00474CB7"/>
    <w:rsid w:val="004762BB"/>
    <w:rsid w:val="0047753C"/>
    <w:rsid w:val="0047781F"/>
    <w:rsid w:val="00482EA0"/>
    <w:rsid w:val="004839DB"/>
    <w:rsid w:val="00486510"/>
    <w:rsid w:val="00487205"/>
    <w:rsid w:val="00492D97"/>
    <w:rsid w:val="0049411B"/>
    <w:rsid w:val="004A5C0C"/>
    <w:rsid w:val="004A71A3"/>
    <w:rsid w:val="004B259D"/>
    <w:rsid w:val="004B3866"/>
    <w:rsid w:val="004B6256"/>
    <w:rsid w:val="004B6ED3"/>
    <w:rsid w:val="004C3D32"/>
    <w:rsid w:val="004D0459"/>
    <w:rsid w:val="004D1B33"/>
    <w:rsid w:val="004D1E64"/>
    <w:rsid w:val="004D27FB"/>
    <w:rsid w:val="004D3916"/>
    <w:rsid w:val="004E652A"/>
    <w:rsid w:val="004E70DB"/>
    <w:rsid w:val="004E72DE"/>
    <w:rsid w:val="004F1BB2"/>
    <w:rsid w:val="004F2FDD"/>
    <w:rsid w:val="00503921"/>
    <w:rsid w:val="00503D5D"/>
    <w:rsid w:val="00507663"/>
    <w:rsid w:val="005133D8"/>
    <w:rsid w:val="0051555E"/>
    <w:rsid w:val="00522E52"/>
    <w:rsid w:val="0052393F"/>
    <w:rsid w:val="00523B35"/>
    <w:rsid w:val="0053087B"/>
    <w:rsid w:val="00531593"/>
    <w:rsid w:val="00531DD8"/>
    <w:rsid w:val="00537994"/>
    <w:rsid w:val="005408E0"/>
    <w:rsid w:val="00540955"/>
    <w:rsid w:val="00540AF0"/>
    <w:rsid w:val="0054341E"/>
    <w:rsid w:val="00545E56"/>
    <w:rsid w:val="005475AE"/>
    <w:rsid w:val="00550A67"/>
    <w:rsid w:val="0055225F"/>
    <w:rsid w:val="00554128"/>
    <w:rsid w:val="00555CFC"/>
    <w:rsid w:val="00563301"/>
    <w:rsid w:val="00564B2A"/>
    <w:rsid w:val="00566671"/>
    <w:rsid w:val="005706F4"/>
    <w:rsid w:val="00580208"/>
    <w:rsid w:val="00581A56"/>
    <w:rsid w:val="005858F7"/>
    <w:rsid w:val="00591786"/>
    <w:rsid w:val="00591861"/>
    <w:rsid w:val="00591AB8"/>
    <w:rsid w:val="005923E5"/>
    <w:rsid w:val="00593D18"/>
    <w:rsid w:val="00594418"/>
    <w:rsid w:val="005A2ABD"/>
    <w:rsid w:val="005A4197"/>
    <w:rsid w:val="005B02CE"/>
    <w:rsid w:val="005B36EF"/>
    <w:rsid w:val="005B43C1"/>
    <w:rsid w:val="005C0C31"/>
    <w:rsid w:val="005C568E"/>
    <w:rsid w:val="005C7F69"/>
    <w:rsid w:val="005D5F92"/>
    <w:rsid w:val="005D731E"/>
    <w:rsid w:val="005E16E9"/>
    <w:rsid w:val="005E2CE8"/>
    <w:rsid w:val="005E58C9"/>
    <w:rsid w:val="005E7FE3"/>
    <w:rsid w:val="005F11C7"/>
    <w:rsid w:val="005F2C6D"/>
    <w:rsid w:val="005F432E"/>
    <w:rsid w:val="006001F6"/>
    <w:rsid w:val="006015A6"/>
    <w:rsid w:val="00601E9B"/>
    <w:rsid w:val="006155E3"/>
    <w:rsid w:val="00615C1C"/>
    <w:rsid w:val="006164F1"/>
    <w:rsid w:val="00616ADE"/>
    <w:rsid w:val="00616CA5"/>
    <w:rsid w:val="00617FDE"/>
    <w:rsid w:val="00620A1D"/>
    <w:rsid w:val="00624444"/>
    <w:rsid w:val="00624BAC"/>
    <w:rsid w:val="00632382"/>
    <w:rsid w:val="00632C46"/>
    <w:rsid w:val="0063405F"/>
    <w:rsid w:val="006373B8"/>
    <w:rsid w:val="00637E96"/>
    <w:rsid w:val="0064296D"/>
    <w:rsid w:val="00642D84"/>
    <w:rsid w:val="00643157"/>
    <w:rsid w:val="00643401"/>
    <w:rsid w:val="00645037"/>
    <w:rsid w:val="00652152"/>
    <w:rsid w:val="00655C05"/>
    <w:rsid w:val="00657831"/>
    <w:rsid w:val="006615C6"/>
    <w:rsid w:val="006622FB"/>
    <w:rsid w:val="0066325F"/>
    <w:rsid w:val="00672BAB"/>
    <w:rsid w:val="00675C7D"/>
    <w:rsid w:val="00680E37"/>
    <w:rsid w:val="00681059"/>
    <w:rsid w:val="00681D67"/>
    <w:rsid w:val="00681E73"/>
    <w:rsid w:val="0068239D"/>
    <w:rsid w:val="00683493"/>
    <w:rsid w:val="006838EB"/>
    <w:rsid w:val="00694196"/>
    <w:rsid w:val="00694BD7"/>
    <w:rsid w:val="00695079"/>
    <w:rsid w:val="0069510B"/>
    <w:rsid w:val="00697A6B"/>
    <w:rsid w:val="00697C28"/>
    <w:rsid w:val="006A0D1D"/>
    <w:rsid w:val="006A3BFF"/>
    <w:rsid w:val="006A4C08"/>
    <w:rsid w:val="006A7B0D"/>
    <w:rsid w:val="006B0BD4"/>
    <w:rsid w:val="006B2120"/>
    <w:rsid w:val="006B62EF"/>
    <w:rsid w:val="006C2D93"/>
    <w:rsid w:val="006C37FE"/>
    <w:rsid w:val="006C660F"/>
    <w:rsid w:val="006D4258"/>
    <w:rsid w:val="006D5176"/>
    <w:rsid w:val="006E34FF"/>
    <w:rsid w:val="006E7CC9"/>
    <w:rsid w:val="006F37AC"/>
    <w:rsid w:val="006F461D"/>
    <w:rsid w:val="006F6CDB"/>
    <w:rsid w:val="007006F8"/>
    <w:rsid w:val="0070155E"/>
    <w:rsid w:val="00702AE9"/>
    <w:rsid w:val="00703347"/>
    <w:rsid w:val="00704962"/>
    <w:rsid w:val="0071238C"/>
    <w:rsid w:val="0071267B"/>
    <w:rsid w:val="007132D6"/>
    <w:rsid w:val="00715E69"/>
    <w:rsid w:val="00715FA7"/>
    <w:rsid w:val="00716E0D"/>
    <w:rsid w:val="00721C5F"/>
    <w:rsid w:val="007248DC"/>
    <w:rsid w:val="007255FA"/>
    <w:rsid w:val="00725FDA"/>
    <w:rsid w:val="00726950"/>
    <w:rsid w:val="007301C3"/>
    <w:rsid w:val="007308E4"/>
    <w:rsid w:val="00732C3D"/>
    <w:rsid w:val="00734DD0"/>
    <w:rsid w:val="0073588D"/>
    <w:rsid w:val="007366A9"/>
    <w:rsid w:val="007368A7"/>
    <w:rsid w:val="0073698C"/>
    <w:rsid w:val="0074038D"/>
    <w:rsid w:val="0074311C"/>
    <w:rsid w:val="00743850"/>
    <w:rsid w:val="0074409C"/>
    <w:rsid w:val="007511F0"/>
    <w:rsid w:val="00751BCA"/>
    <w:rsid w:val="00754162"/>
    <w:rsid w:val="00756187"/>
    <w:rsid w:val="007609E5"/>
    <w:rsid w:val="00762AB9"/>
    <w:rsid w:val="00765475"/>
    <w:rsid w:val="007673DD"/>
    <w:rsid w:val="00770A73"/>
    <w:rsid w:val="00771CF4"/>
    <w:rsid w:val="007726D7"/>
    <w:rsid w:val="0078123D"/>
    <w:rsid w:val="007846EC"/>
    <w:rsid w:val="00791711"/>
    <w:rsid w:val="00791B70"/>
    <w:rsid w:val="0079363A"/>
    <w:rsid w:val="00793CA9"/>
    <w:rsid w:val="00797127"/>
    <w:rsid w:val="007A0C88"/>
    <w:rsid w:val="007A4919"/>
    <w:rsid w:val="007A5345"/>
    <w:rsid w:val="007B0533"/>
    <w:rsid w:val="007B58DD"/>
    <w:rsid w:val="007B6027"/>
    <w:rsid w:val="007C1D6F"/>
    <w:rsid w:val="007C3F68"/>
    <w:rsid w:val="007C43D6"/>
    <w:rsid w:val="007C5D48"/>
    <w:rsid w:val="007C6C7E"/>
    <w:rsid w:val="007E1F3B"/>
    <w:rsid w:val="007E2318"/>
    <w:rsid w:val="007E4268"/>
    <w:rsid w:val="007E6AA6"/>
    <w:rsid w:val="007F1950"/>
    <w:rsid w:val="007F1BC7"/>
    <w:rsid w:val="007F1BE3"/>
    <w:rsid w:val="007F5444"/>
    <w:rsid w:val="007F7E09"/>
    <w:rsid w:val="0080090E"/>
    <w:rsid w:val="00801777"/>
    <w:rsid w:val="00802624"/>
    <w:rsid w:val="00802B0D"/>
    <w:rsid w:val="00805FF9"/>
    <w:rsid w:val="00810C80"/>
    <w:rsid w:val="0081141E"/>
    <w:rsid w:val="00812D37"/>
    <w:rsid w:val="0082025A"/>
    <w:rsid w:val="0082176E"/>
    <w:rsid w:val="00823429"/>
    <w:rsid w:val="0082442E"/>
    <w:rsid w:val="00827C0C"/>
    <w:rsid w:val="00832611"/>
    <w:rsid w:val="00836F86"/>
    <w:rsid w:val="0083757E"/>
    <w:rsid w:val="00840832"/>
    <w:rsid w:val="0084268E"/>
    <w:rsid w:val="00850C7C"/>
    <w:rsid w:val="00852169"/>
    <w:rsid w:val="00857020"/>
    <w:rsid w:val="008606F4"/>
    <w:rsid w:val="00864262"/>
    <w:rsid w:val="0086585F"/>
    <w:rsid w:val="00867C08"/>
    <w:rsid w:val="00877529"/>
    <w:rsid w:val="00880FB3"/>
    <w:rsid w:val="00881394"/>
    <w:rsid w:val="00886F31"/>
    <w:rsid w:val="00891527"/>
    <w:rsid w:val="00894986"/>
    <w:rsid w:val="0089615C"/>
    <w:rsid w:val="00897A83"/>
    <w:rsid w:val="00897EAA"/>
    <w:rsid w:val="008A125F"/>
    <w:rsid w:val="008A309C"/>
    <w:rsid w:val="008B0FAA"/>
    <w:rsid w:val="008B44A4"/>
    <w:rsid w:val="008B7B98"/>
    <w:rsid w:val="008C6999"/>
    <w:rsid w:val="008D1568"/>
    <w:rsid w:val="008D1D7A"/>
    <w:rsid w:val="008E0C42"/>
    <w:rsid w:val="008E429A"/>
    <w:rsid w:val="008E450D"/>
    <w:rsid w:val="008F0BAF"/>
    <w:rsid w:val="008F59EE"/>
    <w:rsid w:val="00901049"/>
    <w:rsid w:val="009044E8"/>
    <w:rsid w:val="00910F88"/>
    <w:rsid w:val="0091208A"/>
    <w:rsid w:val="00912BC4"/>
    <w:rsid w:val="00920D81"/>
    <w:rsid w:val="00924AD6"/>
    <w:rsid w:val="00925ED8"/>
    <w:rsid w:val="0092717B"/>
    <w:rsid w:val="009272F5"/>
    <w:rsid w:val="00931B41"/>
    <w:rsid w:val="00933FA5"/>
    <w:rsid w:val="009352F0"/>
    <w:rsid w:val="0093552C"/>
    <w:rsid w:val="009355CC"/>
    <w:rsid w:val="00935A32"/>
    <w:rsid w:val="0093657D"/>
    <w:rsid w:val="0093741F"/>
    <w:rsid w:val="00942DF3"/>
    <w:rsid w:val="009435D0"/>
    <w:rsid w:val="0094614B"/>
    <w:rsid w:val="009513B1"/>
    <w:rsid w:val="00955DA2"/>
    <w:rsid w:val="00960A6F"/>
    <w:rsid w:val="00961308"/>
    <w:rsid w:val="00964FBF"/>
    <w:rsid w:val="009670C6"/>
    <w:rsid w:val="00967F07"/>
    <w:rsid w:val="00970706"/>
    <w:rsid w:val="00974507"/>
    <w:rsid w:val="00976CF2"/>
    <w:rsid w:val="0097711D"/>
    <w:rsid w:val="009833E6"/>
    <w:rsid w:val="00987EDC"/>
    <w:rsid w:val="0099176A"/>
    <w:rsid w:val="00992CB0"/>
    <w:rsid w:val="00994AC0"/>
    <w:rsid w:val="00997F4F"/>
    <w:rsid w:val="009A0119"/>
    <w:rsid w:val="009A3E58"/>
    <w:rsid w:val="009A416F"/>
    <w:rsid w:val="009A6CA6"/>
    <w:rsid w:val="009A6CAE"/>
    <w:rsid w:val="009B5A02"/>
    <w:rsid w:val="009C0AEB"/>
    <w:rsid w:val="009C1586"/>
    <w:rsid w:val="009D0E48"/>
    <w:rsid w:val="009D119B"/>
    <w:rsid w:val="009D16F1"/>
    <w:rsid w:val="009D2E68"/>
    <w:rsid w:val="009D6B15"/>
    <w:rsid w:val="009D6FB2"/>
    <w:rsid w:val="009D7C00"/>
    <w:rsid w:val="009D7C69"/>
    <w:rsid w:val="009D7F57"/>
    <w:rsid w:val="009E027C"/>
    <w:rsid w:val="009E0760"/>
    <w:rsid w:val="009E36CA"/>
    <w:rsid w:val="009E5B0D"/>
    <w:rsid w:val="009E6365"/>
    <w:rsid w:val="009E648C"/>
    <w:rsid w:val="009E690C"/>
    <w:rsid w:val="009E7D6F"/>
    <w:rsid w:val="009E7E37"/>
    <w:rsid w:val="009F0C44"/>
    <w:rsid w:val="009F1649"/>
    <w:rsid w:val="009F2B5F"/>
    <w:rsid w:val="009F30C5"/>
    <w:rsid w:val="009F44C5"/>
    <w:rsid w:val="009F4BDF"/>
    <w:rsid w:val="009F648D"/>
    <w:rsid w:val="009F68EF"/>
    <w:rsid w:val="00A02BD8"/>
    <w:rsid w:val="00A07315"/>
    <w:rsid w:val="00A07F02"/>
    <w:rsid w:val="00A11874"/>
    <w:rsid w:val="00A12682"/>
    <w:rsid w:val="00A13D4D"/>
    <w:rsid w:val="00A1525B"/>
    <w:rsid w:val="00A16804"/>
    <w:rsid w:val="00A20465"/>
    <w:rsid w:val="00A2049F"/>
    <w:rsid w:val="00A21E47"/>
    <w:rsid w:val="00A2208A"/>
    <w:rsid w:val="00A222D0"/>
    <w:rsid w:val="00A22E07"/>
    <w:rsid w:val="00A2326E"/>
    <w:rsid w:val="00A23767"/>
    <w:rsid w:val="00A24849"/>
    <w:rsid w:val="00A27CBF"/>
    <w:rsid w:val="00A34395"/>
    <w:rsid w:val="00A41275"/>
    <w:rsid w:val="00A41E0E"/>
    <w:rsid w:val="00A44C87"/>
    <w:rsid w:val="00A4547C"/>
    <w:rsid w:val="00A46232"/>
    <w:rsid w:val="00A4741B"/>
    <w:rsid w:val="00A47F99"/>
    <w:rsid w:val="00A54A1D"/>
    <w:rsid w:val="00A6247C"/>
    <w:rsid w:val="00A656EB"/>
    <w:rsid w:val="00A7403A"/>
    <w:rsid w:val="00A74662"/>
    <w:rsid w:val="00A75383"/>
    <w:rsid w:val="00A81CB1"/>
    <w:rsid w:val="00A865F5"/>
    <w:rsid w:val="00A8753B"/>
    <w:rsid w:val="00A90074"/>
    <w:rsid w:val="00A9392D"/>
    <w:rsid w:val="00A9524F"/>
    <w:rsid w:val="00A97CFA"/>
    <w:rsid w:val="00AA23B6"/>
    <w:rsid w:val="00AA400B"/>
    <w:rsid w:val="00AA62FC"/>
    <w:rsid w:val="00AA681C"/>
    <w:rsid w:val="00AB0786"/>
    <w:rsid w:val="00AB1532"/>
    <w:rsid w:val="00AB417A"/>
    <w:rsid w:val="00AC38CD"/>
    <w:rsid w:val="00AC53D6"/>
    <w:rsid w:val="00AC5C23"/>
    <w:rsid w:val="00AD0B6B"/>
    <w:rsid w:val="00AD17F7"/>
    <w:rsid w:val="00AD7DE3"/>
    <w:rsid w:val="00AF0372"/>
    <w:rsid w:val="00AF0AD3"/>
    <w:rsid w:val="00AF321F"/>
    <w:rsid w:val="00AF4736"/>
    <w:rsid w:val="00AF50B0"/>
    <w:rsid w:val="00AF6535"/>
    <w:rsid w:val="00AF69E2"/>
    <w:rsid w:val="00B03B39"/>
    <w:rsid w:val="00B10200"/>
    <w:rsid w:val="00B11D78"/>
    <w:rsid w:val="00B14D7A"/>
    <w:rsid w:val="00B208D2"/>
    <w:rsid w:val="00B21E64"/>
    <w:rsid w:val="00B27122"/>
    <w:rsid w:val="00B2750B"/>
    <w:rsid w:val="00B27579"/>
    <w:rsid w:val="00B30067"/>
    <w:rsid w:val="00B32415"/>
    <w:rsid w:val="00B340B2"/>
    <w:rsid w:val="00B35757"/>
    <w:rsid w:val="00B35EB5"/>
    <w:rsid w:val="00B37111"/>
    <w:rsid w:val="00B40371"/>
    <w:rsid w:val="00B4128C"/>
    <w:rsid w:val="00B4296F"/>
    <w:rsid w:val="00B42B2A"/>
    <w:rsid w:val="00B459CF"/>
    <w:rsid w:val="00B5367C"/>
    <w:rsid w:val="00B555DD"/>
    <w:rsid w:val="00B55925"/>
    <w:rsid w:val="00B55E18"/>
    <w:rsid w:val="00B565A4"/>
    <w:rsid w:val="00B57BE3"/>
    <w:rsid w:val="00B60EB6"/>
    <w:rsid w:val="00B62A19"/>
    <w:rsid w:val="00B70976"/>
    <w:rsid w:val="00B713DE"/>
    <w:rsid w:val="00B724C4"/>
    <w:rsid w:val="00B739F8"/>
    <w:rsid w:val="00B779E6"/>
    <w:rsid w:val="00B77CCF"/>
    <w:rsid w:val="00B8478B"/>
    <w:rsid w:val="00B9004B"/>
    <w:rsid w:val="00B91261"/>
    <w:rsid w:val="00B92391"/>
    <w:rsid w:val="00B92EC0"/>
    <w:rsid w:val="00B9482D"/>
    <w:rsid w:val="00B96258"/>
    <w:rsid w:val="00BA1526"/>
    <w:rsid w:val="00BA2CFE"/>
    <w:rsid w:val="00BA57E5"/>
    <w:rsid w:val="00BA6C44"/>
    <w:rsid w:val="00BA71D0"/>
    <w:rsid w:val="00BB3E12"/>
    <w:rsid w:val="00BB59BF"/>
    <w:rsid w:val="00BC40B4"/>
    <w:rsid w:val="00BC65D3"/>
    <w:rsid w:val="00BD3E66"/>
    <w:rsid w:val="00BD4B6D"/>
    <w:rsid w:val="00BD5329"/>
    <w:rsid w:val="00BE02EC"/>
    <w:rsid w:val="00BE18E8"/>
    <w:rsid w:val="00BE4C7A"/>
    <w:rsid w:val="00BE7409"/>
    <w:rsid w:val="00BF1669"/>
    <w:rsid w:val="00BF26DF"/>
    <w:rsid w:val="00BF3E09"/>
    <w:rsid w:val="00C027CA"/>
    <w:rsid w:val="00C02DDD"/>
    <w:rsid w:val="00C0362A"/>
    <w:rsid w:val="00C1087A"/>
    <w:rsid w:val="00C136EC"/>
    <w:rsid w:val="00C23B2E"/>
    <w:rsid w:val="00C25EB1"/>
    <w:rsid w:val="00C27029"/>
    <w:rsid w:val="00C32494"/>
    <w:rsid w:val="00C32A3A"/>
    <w:rsid w:val="00C33436"/>
    <w:rsid w:val="00C342FF"/>
    <w:rsid w:val="00C42D6F"/>
    <w:rsid w:val="00C432F4"/>
    <w:rsid w:val="00C44B67"/>
    <w:rsid w:val="00C514E4"/>
    <w:rsid w:val="00C534DA"/>
    <w:rsid w:val="00C5444F"/>
    <w:rsid w:val="00C5776A"/>
    <w:rsid w:val="00C628B7"/>
    <w:rsid w:val="00C671F0"/>
    <w:rsid w:val="00C677B5"/>
    <w:rsid w:val="00C70560"/>
    <w:rsid w:val="00C7179D"/>
    <w:rsid w:val="00C71DCF"/>
    <w:rsid w:val="00C763FD"/>
    <w:rsid w:val="00C76896"/>
    <w:rsid w:val="00C77779"/>
    <w:rsid w:val="00C83A12"/>
    <w:rsid w:val="00C8544C"/>
    <w:rsid w:val="00C85A38"/>
    <w:rsid w:val="00C86826"/>
    <w:rsid w:val="00C90364"/>
    <w:rsid w:val="00C92202"/>
    <w:rsid w:val="00C928BF"/>
    <w:rsid w:val="00C93E86"/>
    <w:rsid w:val="00C97244"/>
    <w:rsid w:val="00C97526"/>
    <w:rsid w:val="00CA1619"/>
    <w:rsid w:val="00CB2EBB"/>
    <w:rsid w:val="00CB448A"/>
    <w:rsid w:val="00CB48FC"/>
    <w:rsid w:val="00CC0D8C"/>
    <w:rsid w:val="00CC1AC5"/>
    <w:rsid w:val="00CC3525"/>
    <w:rsid w:val="00CC4847"/>
    <w:rsid w:val="00CD5702"/>
    <w:rsid w:val="00CE17F1"/>
    <w:rsid w:val="00CE283E"/>
    <w:rsid w:val="00CE316B"/>
    <w:rsid w:val="00CE4C25"/>
    <w:rsid w:val="00CF296B"/>
    <w:rsid w:val="00D01B01"/>
    <w:rsid w:val="00D02C2A"/>
    <w:rsid w:val="00D039EE"/>
    <w:rsid w:val="00D12DB0"/>
    <w:rsid w:val="00D15212"/>
    <w:rsid w:val="00D176AB"/>
    <w:rsid w:val="00D2407F"/>
    <w:rsid w:val="00D2473A"/>
    <w:rsid w:val="00D27F5B"/>
    <w:rsid w:val="00D302DB"/>
    <w:rsid w:val="00D31CBC"/>
    <w:rsid w:val="00D34AD6"/>
    <w:rsid w:val="00D35A25"/>
    <w:rsid w:val="00D35D30"/>
    <w:rsid w:val="00D37315"/>
    <w:rsid w:val="00D41146"/>
    <w:rsid w:val="00D44D7E"/>
    <w:rsid w:val="00D527B4"/>
    <w:rsid w:val="00D54526"/>
    <w:rsid w:val="00D55294"/>
    <w:rsid w:val="00D64768"/>
    <w:rsid w:val="00D656FD"/>
    <w:rsid w:val="00D7410D"/>
    <w:rsid w:val="00D770C8"/>
    <w:rsid w:val="00D777DE"/>
    <w:rsid w:val="00D908D9"/>
    <w:rsid w:val="00D91C83"/>
    <w:rsid w:val="00D93FFF"/>
    <w:rsid w:val="00D97B70"/>
    <w:rsid w:val="00DA3EEE"/>
    <w:rsid w:val="00DB41E1"/>
    <w:rsid w:val="00DC5D54"/>
    <w:rsid w:val="00DC682D"/>
    <w:rsid w:val="00DD468D"/>
    <w:rsid w:val="00DD5AD1"/>
    <w:rsid w:val="00DD6132"/>
    <w:rsid w:val="00DD797A"/>
    <w:rsid w:val="00DE017B"/>
    <w:rsid w:val="00DE3C8B"/>
    <w:rsid w:val="00DE69CC"/>
    <w:rsid w:val="00DF4622"/>
    <w:rsid w:val="00DF4EEE"/>
    <w:rsid w:val="00DF6C73"/>
    <w:rsid w:val="00DF7A58"/>
    <w:rsid w:val="00E019EC"/>
    <w:rsid w:val="00E06891"/>
    <w:rsid w:val="00E07446"/>
    <w:rsid w:val="00E105CE"/>
    <w:rsid w:val="00E12BC7"/>
    <w:rsid w:val="00E173E7"/>
    <w:rsid w:val="00E1752E"/>
    <w:rsid w:val="00E2108B"/>
    <w:rsid w:val="00E22554"/>
    <w:rsid w:val="00E23323"/>
    <w:rsid w:val="00E27BA0"/>
    <w:rsid w:val="00E3691C"/>
    <w:rsid w:val="00E37568"/>
    <w:rsid w:val="00E42DBC"/>
    <w:rsid w:val="00E43EBC"/>
    <w:rsid w:val="00E45389"/>
    <w:rsid w:val="00E467D1"/>
    <w:rsid w:val="00E467D3"/>
    <w:rsid w:val="00E47B8C"/>
    <w:rsid w:val="00E509C3"/>
    <w:rsid w:val="00E51082"/>
    <w:rsid w:val="00E5137A"/>
    <w:rsid w:val="00E56429"/>
    <w:rsid w:val="00E57511"/>
    <w:rsid w:val="00E57E6B"/>
    <w:rsid w:val="00E60544"/>
    <w:rsid w:val="00E616A1"/>
    <w:rsid w:val="00E7124E"/>
    <w:rsid w:val="00E71E3F"/>
    <w:rsid w:val="00E74102"/>
    <w:rsid w:val="00E74C65"/>
    <w:rsid w:val="00E75EAE"/>
    <w:rsid w:val="00E81FC8"/>
    <w:rsid w:val="00E82211"/>
    <w:rsid w:val="00E82390"/>
    <w:rsid w:val="00E95C36"/>
    <w:rsid w:val="00E95F4A"/>
    <w:rsid w:val="00E96757"/>
    <w:rsid w:val="00E96CA4"/>
    <w:rsid w:val="00EA2F7F"/>
    <w:rsid w:val="00EA60B9"/>
    <w:rsid w:val="00EA77AC"/>
    <w:rsid w:val="00EB04E2"/>
    <w:rsid w:val="00EB1745"/>
    <w:rsid w:val="00EB208C"/>
    <w:rsid w:val="00EB23FA"/>
    <w:rsid w:val="00EB2729"/>
    <w:rsid w:val="00EB3E8C"/>
    <w:rsid w:val="00EB7610"/>
    <w:rsid w:val="00EC2D36"/>
    <w:rsid w:val="00EC3C70"/>
    <w:rsid w:val="00EC48DF"/>
    <w:rsid w:val="00ED0BFD"/>
    <w:rsid w:val="00ED41BB"/>
    <w:rsid w:val="00ED76C4"/>
    <w:rsid w:val="00EE4AAA"/>
    <w:rsid w:val="00EE6029"/>
    <w:rsid w:val="00EE6F8E"/>
    <w:rsid w:val="00EE7C89"/>
    <w:rsid w:val="00EF3B76"/>
    <w:rsid w:val="00EF51CD"/>
    <w:rsid w:val="00F04170"/>
    <w:rsid w:val="00F04F9C"/>
    <w:rsid w:val="00F06F95"/>
    <w:rsid w:val="00F0786A"/>
    <w:rsid w:val="00F11A1E"/>
    <w:rsid w:val="00F153E4"/>
    <w:rsid w:val="00F15A1A"/>
    <w:rsid w:val="00F15EBB"/>
    <w:rsid w:val="00F15ED1"/>
    <w:rsid w:val="00F21974"/>
    <w:rsid w:val="00F220B0"/>
    <w:rsid w:val="00F22C77"/>
    <w:rsid w:val="00F2510F"/>
    <w:rsid w:val="00F25B08"/>
    <w:rsid w:val="00F2677C"/>
    <w:rsid w:val="00F27808"/>
    <w:rsid w:val="00F27A5F"/>
    <w:rsid w:val="00F27AD7"/>
    <w:rsid w:val="00F27F53"/>
    <w:rsid w:val="00F3053E"/>
    <w:rsid w:val="00F31E64"/>
    <w:rsid w:val="00F324F2"/>
    <w:rsid w:val="00F32506"/>
    <w:rsid w:val="00F325A5"/>
    <w:rsid w:val="00F327E6"/>
    <w:rsid w:val="00F3376A"/>
    <w:rsid w:val="00F34634"/>
    <w:rsid w:val="00F35662"/>
    <w:rsid w:val="00F3595F"/>
    <w:rsid w:val="00F37B3E"/>
    <w:rsid w:val="00F42B59"/>
    <w:rsid w:val="00F44FE2"/>
    <w:rsid w:val="00F4568B"/>
    <w:rsid w:val="00F46B86"/>
    <w:rsid w:val="00F549C0"/>
    <w:rsid w:val="00F54F8F"/>
    <w:rsid w:val="00F618F6"/>
    <w:rsid w:val="00F61CCC"/>
    <w:rsid w:val="00F62AA2"/>
    <w:rsid w:val="00F64AC0"/>
    <w:rsid w:val="00F67918"/>
    <w:rsid w:val="00F712AD"/>
    <w:rsid w:val="00F7209B"/>
    <w:rsid w:val="00F754C2"/>
    <w:rsid w:val="00F81515"/>
    <w:rsid w:val="00F8392A"/>
    <w:rsid w:val="00F8642F"/>
    <w:rsid w:val="00F8683F"/>
    <w:rsid w:val="00F92F9E"/>
    <w:rsid w:val="00F94B0E"/>
    <w:rsid w:val="00F94ECA"/>
    <w:rsid w:val="00F94F79"/>
    <w:rsid w:val="00F95541"/>
    <w:rsid w:val="00F9557B"/>
    <w:rsid w:val="00F964EC"/>
    <w:rsid w:val="00F9651B"/>
    <w:rsid w:val="00F97C36"/>
    <w:rsid w:val="00FA2BBD"/>
    <w:rsid w:val="00FA42CC"/>
    <w:rsid w:val="00FA4DAC"/>
    <w:rsid w:val="00FA7BB9"/>
    <w:rsid w:val="00FB223D"/>
    <w:rsid w:val="00FB46C2"/>
    <w:rsid w:val="00FB776B"/>
    <w:rsid w:val="00FC17A6"/>
    <w:rsid w:val="00FC3520"/>
    <w:rsid w:val="00FC5366"/>
    <w:rsid w:val="00FC739D"/>
    <w:rsid w:val="00FE108E"/>
    <w:rsid w:val="00FE199E"/>
    <w:rsid w:val="00FE66AD"/>
    <w:rsid w:val="00FE71D7"/>
    <w:rsid w:val="00FF04D7"/>
    <w:rsid w:val="00FF28AD"/>
    <w:rsid w:val="00FF2EA9"/>
    <w:rsid w:val="00FF3209"/>
    <w:rsid w:val="00FF518B"/>
    <w:rsid w:val="00FF5892"/>
    <w:rsid w:val="00FF7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F92B6B6"/>
  <w15:docId w15:val="{D4781CCC-64D7-4BD9-90A1-5A2FFE6B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2A"/>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729"/>
    <w:pPr>
      <w:tabs>
        <w:tab w:val="center" w:pos="4320"/>
        <w:tab w:val="right" w:pos="8640"/>
      </w:tabs>
    </w:pPr>
  </w:style>
  <w:style w:type="paragraph" w:styleId="Footer">
    <w:name w:val="footer"/>
    <w:basedOn w:val="Normal"/>
    <w:link w:val="FooterChar"/>
    <w:uiPriority w:val="99"/>
    <w:rsid w:val="003C1729"/>
    <w:pPr>
      <w:tabs>
        <w:tab w:val="center" w:pos="4320"/>
        <w:tab w:val="right" w:pos="8640"/>
      </w:tabs>
    </w:pPr>
  </w:style>
  <w:style w:type="character" w:styleId="Hyperlink">
    <w:name w:val="Hyperlink"/>
    <w:basedOn w:val="DefaultParagraphFont"/>
    <w:rsid w:val="009C0AEB"/>
    <w:rPr>
      <w:color w:val="0000FF"/>
      <w:u w:val="single"/>
    </w:rPr>
  </w:style>
  <w:style w:type="paragraph" w:customStyle="1" w:styleId="SenderAddress">
    <w:name w:val="Sender Address"/>
    <w:basedOn w:val="Normal"/>
    <w:rsid w:val="0074311C"/>
    <w:rPr>
      <w:rFonts w:ascii="Times New Roman" w:eastAsia="Times New Roman" w:hAnsi="Times New Roman"/>
      <w:szCs w:val="24"/>
      <w:lang w:val="en-US"/>
    </w:rPr>
  </w:style>
  <w:style w:type="paragraph" w:customStyle="1" w:styleId="RecipientAddress">
    <w:name w:val="Recipient Address"/>
    <w:basedOn w:val="Normal"/>
    <w:rsid w:val="0074311C"/>
    <w:rPr>
      <w:rFonts w:ascii="Times New Roman" w:eastAsia="Times New Roman" w:hAnsi="Times New Roman"/>
      <w:szCs w:val="24"/>
      <w:lang w:val="en-US"/>
    </w:rPr>
  </w:style>
  <w:style w:type="paragraph" w:styleId="Salutation">
    <w:name w:val="Salutation"/>
    <w:basedOn w:val="Normal"/>
    <w:next w:val="Normal"/>
    <w:rsid w:val="0074311C"/>
    <w:pPr>
      <w:spacing w:before="220" w:after="220" w:line="220" w:lineRule="atLeast"/>
    </w:pPr>
    <w:rPr>
      <w:rFonts w:eastAsia="Times New Roman"/>
      <w:spacing w:val="-5"/>
      <w:lang w:val="en-US"/>
    </w:rPr>
  </w:style>
  <w:style w:type="paragraph" w:styleId="Signature">
    <w:name w:val="Signature"/>
    <w:basedOn w:val="Normal"/>
    <w:next w:val="Normal"/>
    <w:rsid w:val="0074311C"/>
    <w:pPr>
      <w:keepNext/>
      <w:spacing w:before="880" w:line="220" w:lineRule="atLeast"/>
    </w:pPr>
    <w:rPr>
      <w:rFonts w:eastAsia="Times New Roman"/>
      <w:spacing w:val="-5"/>
      <w:lang w:val="en-US"/>
    </w:rPr>
  </w:style>
  <w:style w:type="paragraph" w:styleId="BalloonText">
    <w:name w:val="Balloon Text"/>
    <w:basedOn w:val="Normal"/>
    <w:link w:val="BalloonTextChar"/>
    <w:rsid w:val="00267131"/>
    <w:rPr>
      <w:rFonts w:ascii="Tahoma" w:hAnsi="Tahoma" w:cs="Tahoma"/>
      <w:sz w:val="16"/>
      <w:szCs w:val="16"/>
    </w:rPr>
  </w:style>
  <w:style w:type="character" w:customStyle="1" w:styleId="BalloonTextChar">
    <w:name w:val="Balloon Text Char"/>
    <w:basedOn w:val="DefaultParagraphFont"/>
    <w:link w:val="BalloonText"/>
    <w:rsid w:val="00267131"/>
    <w:rPr>
      <w:rFonts w:ascii="Tahoma" w:hAnsi="Tahoma" w:cs="Tahoma"/>
      <w:sz w:val="16"/>
      <w:szCs w:val="16"/>
      <w:lang w:eastAsia="en-US"/>
    </w:rPr>
  </w:style>
  <w:style w:type="paragraph" w:styleId="ListParagraph">
    <w:name w:val="List Paragraph"/>
    <w:basedOn w:val="Normal"/>
    <w:uiPriority w:val="34"/>
    <w:qFormat/>
    <w:rsid w:val="00C90364"/>
    <w:pPr>
      <w:ind w:left="720"/>
      <w:contextualSpacing/>
    </w:pPr>
  </w:style>
  <w:style w:type="paragraph" w:styleId="FootnoteText">
    <w:name w:val="footnote text"/>
    <w:basedOn w:val="Normal"/>
    <w:link w:val="FootnoteTextChar"/>
    <w:rsid w:val="001D72C1"/>
  </w:style>
  <w:style w:type="character" w:customStyle="1" w:styleId="FootnoteTextChar">
    <w:name w:val="Footnote Text Char"/>
    <w:basedOn w:val="DefaultParagraphFont"/>
    <w:link w:val="FootnoteText"/>
    <w:rsid w:val="001D72C1"/>
    <w:rPr>
      <w:lang w:eastAsia="en-US"/>
    </w:rPr>
  </w:style>
  <w:style w:type="character" w:styleId="FootnoteReference">
    <w:name w:val="footnote reference"/>
    <w:aliases w:val="(NECG) Footnote Reference"/>
    <w:basedOn w:val="DefaultParagraphFont"/>
    <w:rsid w:val="001D72C1"/>
    <w:rPr>
      <w:vertAlign w:val="superscript"/>
    </w:rPr>
  </w:style>
  <w:style w:type="paragraph" w:styleId="NormalWeb">
    <w:name w:val="Normal (Web)"/>
    <w:basedOn w:val="Normal"/>
    <w:uiPriority w:val="99"/>
    <w:unhideWhenUsed/>
    <w:rsid w:val="009D0E48"/>
    <w:pPr>
      <w:spacing w:before="100" w:beforeAutospacing="1" w:after="100" w:afterAutospacing="1"/>
    </w:pPr>
    <w:rPr>
      <w:rFonts w:ascii="Times New Roman" w:eastAsia="Times New Roman" w:hAnsi="Times New Roman"/>
      <w:szCs w:val="24"/>
      <w:lang w:eastAsia="en-AU"/>
    </w:rPr>
  </w:style>
  <w:style w:type="character" w:styleId="CommentReference">
    <w:name w:val="annotation reference"/>
    <w:basedOn w:val="DefaultParagraphFont"/>
    <w:semiHidden/>
    <w:unhideWhenUsed/>
    <w:rsid w:val="00F2510F"/>
    <w:rPr>
      <w:sz w:val="16"/>
      <w:szCs w:val="16"/>
    </w:rPr>
  </w:style>
  <w:style w:type="paragraph" w:styleId="CommentText">
    <w:name w:val="annotation text"/>
    <w:basedOn w:val="Normal"/>
    <w:link w:val="CommentTextChar"/>
    <w:semiHidden/>
    <w:unhideWhenUsed/>
    <w:rsid w:val="00F2510F"/>
  </w:style>
  <w:style w:type="character" w:customStyle="1" w:styleId="CommentTextChar">
    <w:name w:val="Comment Text Char"/>
    <w:basedOn w:val="DefaultParagraphFont"/>
    <w:link w:val="CommentText"/>
    <w:semiHidden/>
    <w:rsid w:val="00F2510F"/>
    <w:rPr>
      <w:lang w:eastAsia="en-US"/>
    </w:rPr>
  </w:style>
  <w:style w:type="paragraph" w:styleId="CommentSubject">
    <w:name w:val="annotation subject"/>
    <w:basedOn w:val="CommentText"/>
    <w:next w:val="CommentText"/>
    <w:link w:val="CommentSubjectChar"/>
    <w:semiHidden/>
    <w:unhideWhenUsed/>
    <w:rsid w:val="00F2510F"/>
    <w:rPr>
      <w:b/>
      <w:bCs/>
    </w:rPr>
  </w:style>
  <w:style w:type="character" w:customStyle="1" w:styleId="CommentSubjectChar">
    <w:name w:val="Comment Subject Char"/>
    <w:basedOn w:val="CommentTextChar"/>
    <w:link w:val="CommentSubject"/>
    <w:semiHidden/>
    <w:rsid w:val="00F2510F"/>
    <w:rPr>
      <w:b/>
      <w:bCs/>
      <w:lang w:eastAsia="en-US"/>
    </w:rPr>
  </w:style>
  <w:style w:type="character" w:customStyle="1" w:styleId="HeaderChar">
    <w:name w:val="Header Char"/>
    <w:basedOn w:val="DefaultParagraphFont"/>
    <w:link w:val="Header"/>
    <w:uiPriority w:val="99"/>
    <w:rsid w:val="003A0D5A"/>
    <w:rPr>
      <w:sz w:val="24"/>
      <w:lang w:eastAsia="en-US"/>
    </w:rPr>
  </w:style>
  <w:style w:type="character" w:styleId="Emphasis">
    <w:name w:val="Emphasis"/>
    <w:basedOn w:val="DefaultParagraphFont"/>
    <w:qFormat/>
    <w:rsid w:val="006373B8"/>
    <w:rPr>
      <w:i/>
      <w:iCs/>
    </w:rPr>
  </w:style>
  <w:style w:type="character" w:customStyle="1" w:styleId="FooterChar">
    <w:name w:val="Footer Char"/>
    <w:basedOn w:val="DefaultParagraphFont"/>
    <w:link w:val="Footer"/>
    <w:uiPriority w:val="99"/>
    <w:rsid w:val="009D7C00"/>
    <w:rPr>
      <w:sz w:val="24"/>
      <w:lang w:eastAsia="en-US"/>
    </w:rPr>
  </w:style>
  <w:style w:type="table" w:styleId="TableGrid">
    <w:name w:val="Table Grid"/>
    <w:basedOn w:val="TableNormal"/>
    <w:rsid w:val="0004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42B2A"/>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964898">
      <w:bodyDiv w:val="1"/>
      <w:marLeft w:val="0"/>
      <w:marRight w:val="0"/>
      <w:marTop w:val="0"/>
      <w:marBottom w:val="0"/>
      <w:divBdr>
        <w:top w:val="none" w:sz="0" w:space="0" w:color="auto"/>
        <w:left w:val="none" w:sz="0" w:space="0" w:color="auto"/>
        <w:bottom w:val="none" w:sz="0" w:space="0" w:color="auto"/>
        <w:right w:val="none" w:sz="0" w:space="0" w:color="auto"/>
      </w:divBdr>
    </w:div>
    <w:div w:id="295263232">
      <w:bodyDiv w:val="1"/>
      <w:marLeft w:val="0"/>
      <w:marRight w:val="0"/>
      <w:marTop w:val="0"/>
      <w:marBottom w:val="0"/>
      <w:divBdr>
        <w:top w:val="none" w:sz="0" w:space="0" w:color="auto"/>
        <w:left w:val="none" w:sz="0" w:space="0" w:color="auto"/>
        <w:bottom w:val="none" w:sz="0" w:space="0" w:color="auto"/>
        <w:right w:val="none" w:sz="0" w:space="0" w:color="auto"/>
      </w:divBdr>
    </w:div>
    <w:div w:id="941491803">
      <w:bodyDiv w:val="1"/>
      <w:marLeft w:val="0"/>
      <w:marRight w:val="0"/>
      <w:marTop w:val="0"/>
      <w:marBottom w:val="0"/>
      <w:divBdr>
        <w:top w:val="none" w:sz="0" w:space="0" w:color="auto"/>
        <w:left w:val="none" w:sz="0" w:space="0" w:color="auto"/>
        <w:bottom w:val="none" w:sz="0" w:space="0" w:color="auto"/>
        <w:right w:val="none" w:sz="0" w:space="0" w:color="auto"/>
      </w:divBdr>
    </w:div>
    <w:div w:id="1185290577">
      <w:bodyDiv w:val="1"/>
      <w:marLeft w:val="0"/>
      <w:marRight w:val="0"/>
      <w:marTop w:val="0"/>
      <w:marBottom w:val="0"/>
      <w:divBdr>
        <w:top w:val="none" w:sz="0" w:space="0" w:color="auto"/>
        <w:left w:val="none" w:sz="0" w:space="0" w:color="auto"/>
        <w:bottom w:val="none" w:sz="0" w:space="0" w:color="auto"/>
        <w:right w:val="none" w:sz="0" w:space="0" w:color="auto"/>
      </w:divBdr>
    </w:div>
    <w:div w:id="1292516629">
      <w:bodyDiv w:val="1"/>
      <w:marLeft w:val="0"/>
      <w:marRight w:val="0"/>
      <w:marTop w:val="0"/>
      <w:marBottom w:val="0"/>
      <w:divBdr>
        <w:top w:val="none" w:sz="0" w:space="0" w:color="auto"/>
        <w:left w:val="none" w:sz="0" w:space="0" w:color="auto"/>
        <w:bottom w:val="none" w:sz="0" w:space="0" w:color="auto"/>
        <w:right w:val="none" w:sz="0" w:space="0" w:color="auto"/>
      </w:divBdr>
    </w:div>
    <w:div w:id="1339504494">
      <w:bodyDiv w:val="1"/>
      <w:marLeft w:val="0"/>
      <w:marRight w:val="0"/>
      <w:marTop w:val="0"/>
      <w:marBottom w:val="0"/>
      <w:divBdr>
        <w:top w:val="none" w:sz="0" w:space="0" w:color="auto"/>
        <w:left w:val="none" w:sz="0" w:space="0" w:color="auto"/>
        <w:bottom w:val="none" w:sz="0" w:space="0" w:color="auto"/>
        <w:right w:val="none" w:sz="0" w:space="0" w:color="auto"/>
      </w:divBdr>
    </w:div>
    <w:div w:id="1365902317">
      <w:bodyDiv w:val="1"/>
      <w:marLeft w:val="0"/>
      <w:marRight w:val="0"/>
      <w:marTop w:val="0"/>
      <w:marBottom w:val="0"/>
      <w:divBdr>
        <w:top w:val="none" w:sz="0" w:space="0" w:color="auto"/>
        <w:left w:val="none" w:sz="0" w:space="0" w:color="auto"/>
        <w:bottom w:val="none" w:sz="0" w:space="0" w:color="auto"/>
        <w:right w:val="none" w:sz="0" w:space="0" w:color="auto"/>
      </w:divBdr>
    </w:div>
    <w:div w:id="17451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ran@liveperformanc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veperformance.com.au" TargetMode="External"/><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guric\Documents\Custom%20Office%20Templates\LP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AE47-49A9-4763-8934-1F8B555C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LPA Letter</Template>
  <TotalTime>257</TotalTime>
  <Pages>6</Pages>
  <Words>2026</Words>
  <Characters>12418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Wellcom</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 Greguric</dc:creator>
  <cp:lastModifiedBy>Kim Tran</cp:lastModifiedBy>
  <cp:revision>9</cp:revision>
  <cp:lastPrinted>2017-01-09T06:26:00Z</cp:lastPrinted>
  <dcterms:created xsi:type="dcterms:W3CDTF">2017-01-16T03:36:00Z</dcterms:created>
  <dcterms:modified xsi:type="dcterms:W3CDTF">2017-01-19T04:06:00Z</dcterms:modified>
</cp:coreProperties>
</file>