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2EC" w:rsidRPr="00322B51" w:rsidRDefault="00E06396" w:rsidP="00BC5182">
      <w:pPr>
        <w:ind w:left="-284" w:right="-157"/>
        <w:rPr>
          <w:rFonts w:ascii="Arial" w:hAnsi="Arial" w:cs="Arial"/>
          <w:b/>
          <w:sz w:val="20"/>
          <w:szCs w:val="22"/>
        </w:rPr>
      </w:pPr>
      <w:r>
        <w:rPr>
          <w:rFonts w:ascii="Arial" w:hAnsi="Arial" w:cs="Arial"/>
          <w:b/>
          <w:noProof/>
          <w:sz w:val="20"/>
          <w:szCs w:val="22"/>
          <w:lang w:val="en-US"/>
        </w:rPr>
        <w:t>15</w:t>
      </w:r>
      <w:r w:rsidR="00C47317">
        <w:rPr>
          <w:rFonts w:ascii="Arial" w:hAnsi="Arial" w:cs="Arial"/>
          <w:b/>
          <w:noProof/>
          <w:sz w:val="20"/>
          <w:szCs w:val="22"/>
          <w:lang w:val="en-US"/>
        </w:rPr>
        <w:t xml:space="preserve"> </w:t>
      </w:r>
      <w:r w:rsidR="00CC1399">
        <w:rPr>
          <w:rFonts w:ascii="Arial" w:hAnsi="Arial" w:cs="Arial"/>
          <w:b/>
          <w:noProof/>
          <w:sz w:val="20"/>
          <w:szCs w:val="22"/>
          <w:lang w:val="en-US"/>
        </w:rPr>
        <w:t>March</w:t>
      </w:r>
      <w:r w:rsidR="0063289C">
        <w:rPr>
          <w:rFonts w:ascii="Arial" w:hAnsi="Arial" w:cs="Arial"/>
          <w:b/>
          <w:noProof/>
          <w:sz w:val="20"/>
          <w:szCs w:val="22"/>
          <w:lang w:val="en-US"/>
        </w:rPr>
        <w:t xml:space="preserve"> 2017</w:t>
      </w:r>
    </w:p>
    <w:p w:rsidR="00C606E3" w:rsidRDefault="00C606E3" w:rsidP="00BC5182">
      <w:pPr>
        <w:autoSpaceDE w:val="0"/>
        <w:autoSpaceDN w:val="0"/>
        <w:adjustRightInd w:val="0"/>
        <w:ind w:left="-284" w:right="266"/>
        <w:rPr>
          <w:rFonts w:ascii="Arial" w:eastAsia="Times New Roman" w:hAnsi="Arial" w:cs="Arial"/>
          <w:color w:val="000000"/>
          <w:sz w:val="20"/>
          <w:szCs w:val="22"/>
        </w:rPr>
      </w:pPr>
    </w:p>
    <w:p w:rsidR="00497735" w:rsidRDefault="00CC1399" w:rsidP="00BC5182">
      <w:pPr>
        <w:autoSpaceDE w:val="0"/>
        <w:autoSpaceDN w:val="0"/>
        <w:adjustRightInd w:val="0"/>
        <w:ind w:left="-284" w:right="266"/>
        <w:rPr>
          <w:rFonts w:ascii="Arial" w:eastAsia="Times New Roman" w:hAnsi="Arial" w:cs="Arial"/>
          <w:color w:val="000000"/>
          <w:sz w:val="20"/>
          <w:szCs w:val="22"/>
        </w:rPr>
      </w:pPr>
      <w:r>
        <w:rPr>
          <w:rFonts w:ascii="Arial" w:eastAsia="Times New Roman" w:hAnsi="Arial" w:cs="Arial"/>
          <w:color w:val="000000"/>
          <w:sz w:val="20"/>
          <w:szCs w:val="22"/>
        </w:rPr>
        <w:t>The Hon Kevin Edmund Lindgren AM, QC</w:t>
      </w:r>
    </w:p>
    <w:p w:rsidR="00F07D4D" w:rsidRDefault="00CC1399" w:rsidP="00BC5182">
      <w:pPr>
        <w:autoSpaceDE w:val="0"/>
        <w:autoSpaceDN w:val="0"/>
        <w:adjustRightInd w:val="0"/>
        <w:ind w:left="-284" w:right="266"/>
        <w:rPr>
          <w:rFonts w:ascii="Arial" w:eastAsia="Times New Roman" w:hAnsi="Arial" w:cs="Arial"/>
          <w:color w:val="000000"/>
          <w:sz w:val="20"/>
          <w:szCs w:val="22"/>
        </w:rPr>
      </w:pPr>
      <w:r>
        <w:rPr>
          <w:rFonts w:ascii="Arial" w:eastAsia="Times New Roman" w:hAnsi="Arial" w:cs="Arial"/>
          <w:color w:val="000000"/>
          <w:sz w:val="20"/>
          <w:szCs w:val="22"/>
        </w:rPr>
        <w:t>Code Reviewer</w:t>
      </w:r>
    </w:p>
    <w:p w:rsidR="00CC1399" w:rsidRDefault="00CC1399" w:rsidP="00BC5182">
      <w:pPr>
        <w:autoSpaceDE w:val="0"/>
        <w:autoSpaceDN w:val="0"/>
        <w:adjustRightInd w:val="0"/>
        <w:ind w:left="-284" w:right="266"/>
        <w:rPr>
          <w:rFonts w:ascii="Arial" w:eastAsia="Times New Roman" w:hAnsi="Arial" w:cs="Arial"/>
          <w:color w:val="000000"/>
          <w:sz w:val="20"/>
          <w:szCs w:val="22"/>
        </w:rPr>
      </w:pPr>
      <w:r>
        <w:rPr>
          <w:rFonts w:ascii="Arial" w:eastAsia="Times New Roman" w:hAnsi="Arial" w:cs="Arial"/>
          <w:color w:val="000000"/>
          <w:sz w:val="20"/>
          <w:szCs w:val="22"/>
        </w:rPr>
        <w:t>Suite 704</w:t>
      </w:r>
    </w:p>
    <w:p w:rsidR="00F07D4D" w:rsidRDefault="00CC1399" w:rsidP="00BC5182">
      <w:pPr>
        <w:autoSpaceDE w:val="0"/>
        <w:autoSpaceDN w:val="0"/>
        <w:adjustRightInd w:val="0"/>
        <w:ind w:left="-284" w:right="266"/>
        <w:rPr>
          <w:rFonts w:ascii="Arial" w:eastAsia="Times New Roman" w:hAnsi="Arial" w:cs="Arial"/>
          <w:color w:val="000000"/>
          <w:sz w:val="20"/>
          <w:szCs w:val="22"/>
        </w:rPr>
      </w:pPr>
      <w:r>
        <w:rPr>
          <w:rFonts w:ascii="Arial" w:eastAsia="Times New Roman" w:hAnsi="Arial" w:cs="Arial"/>
          <w:color w:val="000000"/>
          <w:sz w:val="20"/>
          <w:szCs w:val="22"/>
        </w:rPr>
        <w:t>4 Young Street</w:t>
      </w:r>
      <w:r w:rsidR="00C47317" w:rsidRPr="00C47317">
        <w:rPr>
          <w:rFonts w:ascii="Arial" w:eastAsia="Times New Roman" w:hAnsi="Arial" w:cs="Arial"/>
          <w:color w:val="000000"/>
          <w:sz w:val="20"/>
          <w:szCs w:val="22"/>
        </w:rPr>
        <w:br/>
      </w:r>
      <w:r>
        <w:rPr>
          <w:rFonts w:ascii="Arial" w:eastAsia="Times New Roman" w:hAnsi="Arial" w:cs="Arial"/>
          <w:color w:val="000000"/>
          <w:sz w:val="20"/>
          <w:szCs w:val="22"/>
        </w:rPr>
        <w:t>Neutral Bay</w:t>
      </w:r>
      <w:r w:rsidR="00C47317" w:rsidRPr="00C47317">
        <w:rPr>
          <w:rFonts w:ascii="Arial" w:eastAsia="Times New Roman" w:hAnsi="Arial" w:cs="Arial"/>
          <w:color w:val="000000"/>
          <w:sz w:val="20"/>
          <w:szCs w:val="22"/>
        </w:rPr>
        <w:t>  </w:t>
      </w:r>
      <w:r>
        <w:rPr>
          <w:rFonts w:ascii="Arial" w:eastAsia="Times New Roman" w:hAnsi="Arial" w:cs="Arial"/>
          <w:color w:val="000000"/>
          <w:sz w:val="20"/>
          <w:szCs w:val="22"/>
        </w:rPr>
        <w:t>NSW</w:t>
      </w:r>
      <w:r w:rsidR="00C47317" w:rsidRPr="00C47317">
        <w:rPr>
          <w:rFonts w:ascii="Arial" w:eastAsia="Times New Roman" w:hAnsi="Arial" w:cs="Arial"/>
          <w:color w:val="000000"/>
          <w:sz w:val="20"/>
          <w:szCs w:val="22"/>
        </w:rPr>
        <w:t xml:space="preserve">  </w:t>
      </w:r>
      <w:r>
        <w:rPr>
          <w:rFonts w:ascii="Arial" w:eastAsia="Times New Roman" w:hAnsi="Arial" w:cs="Arial"/>
          <w:color w:val="000000"/>
          <w:sz w:val="20"/>
          <w:szCs w:val="22"/>
        </w:rPr>
        <w:t>2089</w:t>
      </w:r>
      <w:r w:rsidR="00D37EED" w:rsidRPr="00322B51">
        <w:rPr>
          <w:rFonts w:ascii="Arial" w:eastAsia="Times New Roman" w:hAnsi="Arial" w:cs="Arial"/>
          <w:color w:val="000000"/>
          <w:sz w:val="20"/>
          <w:szCs w:val="22"/>
        </w:rPr>
        <w:br/>
      </w:r>
    </w:p>
    <w:p w:rsidR="00CC1399" w:rsidRDefault="00CC1399" w:rsidP="00BC5182">
      <w:pPr>
        <w:autoSpaceDE w:val="0"/>
        <w:autoSpaceDN w:val="0"/>
        <w:adjustRightInd w:val="0"/>
        <w:ind w:left="-284" w:right="266"/>
        <w:rPr>
          <w:rFonts w:ascii="Arial" w:eastAsia="Times New Roman" w:hAnsi="Arial" w:cs="Arial"/>
          <w:color w:val="000000"/>
          <w:sz w:val="20"/>
          <w:szCs w:val="22"/>
        </w:rPr>
      </w:pPr>
      <w:r>
        <w:rPr>
          <w:rFonts w:ascii="Arial" w:eastAsia="Times New Roman" w:hAnsi="Arial" w:cs="Arial"/>
          <w:color w:val="000000"/>
          <w:sz w:val="20"/>
          <w:szCs w:val="22"/>
        </w:rPr>
        <w:t xml:space="preserve">By email: </w:t>
      </w:r>
      <w:hyperlink r:id="rId8" w:history="1">
        <w:r w:rsidRPr="00DC0002">
          <w:rPr>
            <w:rStyle w:val="Hyperlink"/>
            <w:rFonts w:ascii="Arial" w:eastAsia="Times New Roman" w:hAnsi="Arial" w:cs="Arial"/>
            <w:sz w:val="20"/>
            <w:szCs w:val="22"/>
          </w:rPr>
          <w:t>codereviewer@gmail.com</w:t>
        </w:r>
      </w:hyperlink>
    </w:p>
    <w:p w:rsidR="00CC1399" w:rsidRDefault="00CC1399" w:rsidP="00BC5182">
      <w:pPr>
        <w:autoSpaceDE w:val="0"/>
        <w:autoSpaceDN w:val="0"/>
        <w:adjustRightInd w:val="0"/>
        <w:ind w:left="-284" w:right="266"/>
        <w:rPr>
          <w:rFonts w:ascii="Arial" w:eastAsia="Times New Roman" w:hAnsi="Arial" w:cs="Arial"/>
          <w:color w:val="000000"/>
          <w:sz w:val="20"/>
          <w:szCs w:val="22"/>
        </w:rPr>
      </w:pPr>
    </w:p>
    <w:p w:rsidR="009D2036" w:rsidRDefault="009D2036" w:rsidP="00BC5182">
      <w:pPr>
        <w:ind w:left="-284"/>
        <w:rPr>
          <w:rFonts w:ascii="Arial" w:hAnsi="Arial" w:cs="Arial"/>
          <w:sz w:val="20"/>
          <w:szCs w:val="22"/>
        </w:rPr>
      </w:pPr>
    </w:p>
    <w:p w:rsidR="007032EC" w:rsidRPr="004B03DA" w:rsidRDefault="007032EC" w:rsidP="004B03DA">
      <w:pPr>
        <w:spacing w:line="300" w:lineRule="exact"/>
        <w:ind w:left="-284" w:right="266"/>
        <w:rPr>
          <w:rFonts w:ascii="Arial" w:hAnsi="Arial" w:cs="Arial"/>
          <w:sz w:val="20"/>
        </w:rPr>
      </w:pPr>
      <w:r w:rsidRPr="004B03DA">
        <w:rPr>
          <w:rFonts w:ascii="Arial" w:hAnsi="Arial" w:cs="Arial"/>
          <w:sz w:val="20"/>
        </w:rPr>
        <w:t xml:space="preserve">Dear </w:t>
      </w:r>
      <w:r w:rsidR="00CC1399" w:rsidRPr="004B03DA">
        <w:rPr>
          <w:rFonts w:ascii="Arial" w:hAnsi="Arial" w:cs="Arial"/>
          <w:sz w:val="20"/>
        </w:rPr>
        <w:t>the Hon Kevin Edmund Lindgren AM, QC (Code Reviewer),</w:t>
      </w:r>
    </w:p>
    <w:p w:rsidR="0036722A" w:rsidRPr="004B03DA" w:rsidRDefault="0036722A" w:rsidP="004B03DA">
      <w:pPr>
        <w:spacing w:line="300" w:lineRule="exact"/>
        <w:ind w:left="-284" w:right="266"/>
        <w:rPr>
          <w:rFonts w:ascii="Arial" w:hAnsi="Arial" w:cs="Arial"/>
          <w:sz w:val="20"/>
        </w:rPr>
      </w:pPr>
    </w:p>
    <w:p w:rsidR="00CC1399" w:rsidRPr="004B03DA" w:rsidRDefault="00CC1399" w:rsidP="004B03DA">
      <w:pPr>
        <w:spacing w:line="300" w:lineRule="exact"/>
        <w:ind w:left="-284" w:right="266"/>
        <w:jc w:val="center"/>
        <w:rPr>
          <w:rFonts w:ascii="Arial" w:hAnsi="Arial" w:cs="Arial"/>
          <w:b/>
          <w:sz w:val="20"/>
        </w:rPr>
      </w:pPr>
      <w:r w:rsidRPr="004B03DA">
        <w:rPr>
          <w:rFonts w:ascii="Arial" w:hAnsi="Arial" w:cs="Arial"/>
          <w:b/>
          <w:sz w:val="20"/>
        </w:rPr>
        <w:t>LPA Submission to Review of Copyright Collecting Societies Code of Conduct</w:t>
      </w:r>
    </w:p>
    <w:p w:rsidR="00CC1399" w:rsidRPr="004B03DA" w:rsidRDefault="00CC1399" w:rsidP="004B03DA">
      <w:pPr>
        <w:spacing w:line="300" w:lineRule="exact"/>
        <w:ind w:left="-284" w:right="266"/>
        <w:rPr>
          <w:rFonts w:ascii="Arial" w:hAnsi="Arial" w:cs="Arial"/>
          <w:sz w:val="20"/>
        </w:rPr>
      </w:pPr>
    </w:p>
    <w:p w:rsidR="00CC1399" w:rsidRPr="004B03DA" w:rsidRDefault="00CC1399" w:rsidP="004B03DA">
      <w:pPr>
        <w:spacing w:line="300" w:lineRule="exact"/>
        <w:ind w:left="-284" w:right="266"/>
        <w:rPr>
          <w:rFonts w:ascii="Arial" w:hAnsi="Arial" w:cs="Arial"/>
          <w:sz w:val="20"/>
        </w:rPr>
      </w:pPr>
      <w:r w:rsidRPr="004B03DA">
        <w:rPr>
          <w:rFonts w:ascii="Arial" w:hAnsi="Arial" w:cs="Arial"/>
          <w:sz w:val="20"/>
        </w:rPr>
        <w:t xml:space="preserve">Thank you for the opportunity to </w:t>
      </w:r>
      <w:r w:rsidR="0036722A" w:rsidRPr="004B03DA">
        <w:rPr>
          <w:rFonts w:ascii="Arial" w:hAnsi="Arial" w:cs="Arial"/>
          <w:sz w:val="20"/>
        </w:rPr>
        <w:t>provide comment on the operation and terms of the Copyright Collecting So</w:t>
      </w:r>
      <w:r w:rsidR="002533B5" w:rsidRPr="004B03DA">
        <w:rPr>
          <w:rFonts w:ascii="Arial" w:hAnsi="Arial" w:cs="Arial"/>
          <w:sz w:val="20"/>
        </w:rPr>
        <w:t>cieties Code of Conduct</w:t>
      </w:r>
      <w:r w:rsidR="0047216B">
        <w:rPr>
          <w:rFonts w:ascii="Arial" w:hAnsi="Arial" w:cs="Arial"/>
          <w:sz w:val="20"/>
        </w:rPr>
        <w:t xml:space="preserve"> (“Code”)</w:t>
      </w:r>
      <w:r w:rsidR="002533B5" w:rsidRPr="004B03DA">
        <w:rPr>
          <w:rFonts w:ascii="Arial" w:hAnsi="Arial" w:cs="Arial"/>
          <w:sz w:val="20"/>
        </w:rPr>
        <w:t xml:space="preserve">. As the peak body for Australia’s </w:t>
      </w:r>
      <w:r w:rsidR="00610040">
        <w:rPr>
          <w:rFonts w:ascii="Arial" w:hAnsi="Arial" w:cs="Arial"/>
          <w:sz w:val="20"/>
        </w:rPr>
        <w:t xml:space="preserve">$2.5 billion </w:t>
      </w:r>
      <w:r w:rsidR="002533B5" w:rsidRPr="004B03DA">
        <w:rPr>
          <w:rFonts w:ascii="Arial" w:hAnsi="Arial" w:cs="Arial"/>
          <w:sz w:val="20"/>
        </w:rPr>
        <w:t xml:space="preserve">live performance industry, Live Performance Australia (LPA) </w:t>
      </w:r>
      <w:r w:rsidR="004B03DA" w:rsidRPr="004B03DA">
        <w:rPr>
          <w:rFonts w:ascii="Arial" w:hAnsi="Arial" w:cs="Arial"/>
          <w:sz w:val="20"/>
        </w:rPr>
        <w:t xml:space="preserve">represents licensees of both APRA </w:t>
      </w:r>
      <w:r w:rsidR="00A4157A">
        <w:rPr>
          <w:rFonts w:ascii="Arial" w:hAnsi="Arial" w:cs="Arial"/>
          <w:sz w:val="20"/>
        </w:rPr>
        <w:t xml:space="preserve">AMCOS (“APRA”) </w:t>
      </w:r>
      <w:r w:rsidR="004B03DA" w:rsidRPr="004B03DA">
        <w:rPr>
          <w:rFonts w:ascii="Arial" w:hAnsi="Arial" w:cs="Arial"/>
          <w:sz w:val="20"/>
        </w:rPr>
        <w:t xml:space="preserve">and PPCA for the public performance of musical works in Australia. </w:t>
      </w:r>
      <w:r w:rsidR="0047216B">
        <w:rPr>
          <w:rFonts w:ascii="Arial" w:hAnsi="Arial" w:cs="Arial"/>
          <w:sz w:val="20"/>
        </w:rPr>
        <w:t xml:space="preserve">Our Members include producers, promoters, venues, performing arts companies and festivals that collectively contribute a significant </w:t>
      </w:r>
      <w:r w:rsidR="00E370D8">
        <w:rPr>
          <w:rFonts w:ascii="Arial" w:hAnsi="Arial" w:cs="Arial"/>
          <w:sz w:val="20"/>
        </w:rPr>
        <w:t xml:space="preserve">portion </w:t>
      </w:r>
      <w:r w:rsidR="0047216B">
        <w:rPr>
          <w:rFonts w:ascii="Arial" w:hAnsi="Arial" w:cs="Arial"/>
          <w:sz w:val="20"/>
        </w:rPr>
        <w:t xml:space="preserve">of </w:t>
      </w:r>
      <w:r w:rsidR="00E370D8">
        <w:rPr>
          <w:rFonts w:ascii="Arial" w:hAnsi="Arial" w:cs="Arial"/>
          <w:sz w:val="20"/>
        </w:rPr>
        <w:t xml:space="preserve">the </w:t>
      </w:r>
      <w:r w:rsidR="0047216B">
        <w:rPr>
          <w:rFonts w:ascii="Arial" w:hAnsi="Arial" w:cs="Arial"/>
          <w:sz w:val="20"/>
        </w:rPr>
        <w:t xml:space="preserve">royalty revenue </w:t>
      </w:r>
      <w:r w:rsidR="00E370D8">
        <w:rPr>
          <w:rFonts w:ascii="Arial" w:hAnsi="Arial" w:cs="Arial"/>
          <w:sz w:val="20"/>
        </w:rPr>
        <w:t xml:space="preserve">collected </w:t>
      </w:r>
      <w:r w:rsidR="0047216B">
        <w:rPr>
          <w:rFonts w:ascii="Arial" w:hAnsi="Arial" w:cs="Arial"/>
          <w:sz w:val="20"/>
        </w:rPr>
        <w:t>for the public performance of music.</w:t>
      </w:r>
      <w:r w:rsidR="00E370D8">
        <w:rPr>
          <w:rStyle w:val="FootnoteReference"/>
          <w:rFonts w:ascii="Arial" w:hAnsi="Arial" w:cs="Arial"/>
          <w:sz w:val="20"/>
        </w:rPr>
        <w:footnoteReference w:id="1"/>
      </w:r>
    </w:p>
    <w:p w:rsidR="00CC1399" w:rsidRDefault="00CC1399" w:rsidP="004B03DA">
      <w:pPr>
        <w:spacing w:line="300" w:lineRule="exact"/>
        <w:ind w:left="-284" w:right="266"/>
        <w:rPr>
          <w:rFonts w:ascii="Arial" w:hAnsi="Arial" w:cs="Arial"/>
          <w:sz w:val="20"/>
        </w:rPr>
      </w:pPr>
    </w:p>
    <w:p w:rsidR="001347EA" w:rsidRPr="001347EA" w:rsidRDefault="001347EA" w:rsidP="004B03DA">
      <w:pPr>
        <w:spacing w:line="300" w:lineRule="exact"/>
        <w:ind w:left="-284" w:right="266"/>
        <w:rPr>
          <w:rFonts w:ascii="Arial" w:hAnsi="Arial" w:cs="Arial"/>
          <w:b/>
          <w:color w:val="CC1543"/>
          <w:sz w:val="20"/>
        </w:rPr>
      </w:pPr>
      <w:r w:rsidRPr="001347EA">
        <w:rPr>
          <w:rFonts w:ascii="Arial" w:hAnsi="Arial" w:cs="Arial"/>
          <w:b/>
          <w:color w:val="CC1543"/>
          <w:sz w:val="20"/>
        </w:rPr>
        <w:t>Background</w:t>
      </w:r>
    </w:p>
    <w:p w:rsidR="001347EA" w:rsidRDefault="001347EA" w:rsidP="004B03DA">
      <w:pPr>
        <w:spacing w:line="300" w:lineRule="exact"/>
        <w:ind w:left="-284" w:right="266"/>
        <w:rPr>
          <w:rFonts w:ascii="Arial" w:hAnsi="Arial" w:cs="Arial"/>
          <w:sz w:val="20"/>
        </w:rPr>
      </w:pPr>
    </w:p>
    <w:p w:rsidR="00F751EB" w:rsidRDefault="00A968A9" w:rsidP="004766D9">
      <w:pPr>
        <w:pStyle w:val="ListParagraph"/>
        <w:numPr>
          <w:ilvl w:val="0"/>
          <w:numId w:val="3"/>
        </w:numPr>
        <w:spacing w:line="300" w:lineRule="exact"/>
        <w:ind w:right="266"/>
        <w:rPr>
          <w:rFonts w:ascii="Arial" w:hAnsi="Arial" w:cs="Arial"/>
          <w:sz w:val="20"/>
        </w:rPr>
      </w:pPr>
      <w:r>
        <w:rPr>
          <w:rFonts w:ascii="Arial" w:hAnsi="Arial" w:cs="Arial"/>
          <w:sz w:val="20"/>
        </w:rPr>
        <w:t>LPA has been actively involved in discussions with APRA on behalf of live performance licensees in recent years. In 2015 LPA concluded</w:t>
      </w:r>
      <w:r w:rsidR="00F751EB">
        <w:rPr>
          <w:rFonts w:ascii="Arial" w:hAnsi="Arial" w:cs="Arial"/>
          <w:sz w:val="20"/>
        </w:rPr>
        <w:t xml:space="preserve"> </w:t>
      </w:r>
      <w:r w:rsidR="0047216B">
        <w:rPr>
          <w:rFonts w:ascii="Arial" w:hAnsi="Arial" w:cs="Arial"/>
          <w:sz w:val="20"/>
        </w:rPr>
        <w:t xml:space="preserve">negotiations with APRA </w:t>
      </w:r>
      <w:r w:rsidR="00A4157A">
        <w:rPr>
          <w:rFonts w:ascii="Arial" w:hAnsi="Arial" w:cs="Arial"/>
          <w:sz w:val="20"/>
        </w:rPr>
        <w:t xml:space="preserve">on </w:t>
      </w:r>
      <w:r w:rsidR="00F751EB">
        <w:rPr>
          <w:rFonts w:ascii="Arial" w:hAnsi="Arial" w:cs="Arial"/>
          <w:sz w:val="20"/>
        </w:rPr>
        <w:t>licence fees and conditions for the public performance of live music at promoted events and festivals</w:t>
      </w:r>
      <w:r w:rsidR="00A4157A">
        <w:rPr>
          <w:rFonts w:ascii="Arial" w:hAnsi="Arial" w:cs="Arial"/>
          <w:sz w:val="20"/>
        </w:rPr>
        <w:t xml:space="preserve">. </w:t>
      </w:r>
      <w:r w:rsidR="00F751EB">
        <w:rPr>
          <w:rFonts w:ascii="Arial" w:hAnsi="Arial" w:cs="Arial"/>
          <w:sz w:val="20"/>
        </w:rPr>
        <w:t xml:space="preserve">APRA is currently consulting with LPA on other licensing matters that affect our Members. </w:t>
      </w:r>
      <w:r w:rsidR="00A4157A">
        <w:rPr>
          <w:rFonts w:ascii="Arial" w:hAnsi="Arial" w:cs="Arial"/>
          <w:sz w:val="20"/>
        </w:rPr>
        <w:t xml:space="preserve">As you are aware, LPA has made </w:t>
      </w:r>
      <w:r w:rsidR="000A33BC" w:rsidRPr="00FF2F2E">
        <w:rPr>
          <w:rFonts w:ascii="Arial" w:hAnsi="Arial" w:cs="Arial"/>
          <w:sz w:val="20"/>
        </w:rPr>
        <w:t>previous submissions</w:t>
      </w:r>
      <w:r w:rsidR="0047216B">
        <w:rPr>
          <w:rFonts w:ascii="Arial" w:hAnsi="Arial" w:cs="Arial"/>
          <w:sz w:val="20"/>
        </w:rPr>
        <w:t xml:space="preserve"> to the</w:t>
      </w:r>
      <w:r w:rsidR="00A4157A">
        <w:rPr>
          <w:rFonts w:ascii="Arial" w:hAnsi="Arial" w:cs="Arial"/>
          <w:sz w:val="20"/>
        </w:rPr>
        <w:t xml:space="preserve"> annual </w:t>
      </w:r>
      <w:r w:rsidR="0047216B">
        <w:rPr>
          <w:rFonts w:ascii="Arial" w:hAnsi="Arial" w:cs="Arial"/>
          <w:sz w:val="20"/>
        </w:rPr>
        <w:t xml:space="preserve">Code </w:t>
      </w:r>
      <w:r w:rsidR="000A33BC" w:rsidRPr="00FF2F2E">
        <w:rPr>
          <w:rFonts w:ascii="Arial" w:hAnsi="Arial" w:cs="Arial"/>
          <w:sz w:val="20"/>
        </w:rPr>
        <w:t>compliance r</w:t>
      </w:r>
      <w:r w:rsidR="00A4157A">
        <w:rPr>
          <w:rFonts w:ascii="Arial" w:hAnsi="Arial" w:cs="Arial"/>
          <w:sz w:val="20"/>
        </w:rPr>
        <w:t xml:space="preserve">eview. </w:t>
      </w:r>
      <w:r w:rsidR="00F751EB">
        <w:rPr>
          <w:rFonts w:ascii="Arial" w:hAnsi="Arial" w:cs="Arial"/>
          <w:sz w:val="20"/>
        </w:rPr>
        <w:br/>
      </w:r>
    </w:p>
    <w:p w:rsidR="004B03DA" w:rsidRPr="00FF2F2E" w:rsidRDefault="00F751EB" w:rsidP="004766D9">
      <w:pPr>
        <w:pStyle w:val="ListParagraph"/>
        <w:numPr>
          <w:ilvl w:val="0"/>
          <w:numId w:val="3"/>
        </w:numPr>
        <w:spacing w:line="300" w:lineRule="exact"/>
        <w:ind w:right="266"/>
        <w:rPr>
          <w:rFonts w:ascii="Arial" w:hAnsi="Arial" w:cs="Arial"/>
          <w:sz w:val="20"/>
        </w:rPr>
      </w:pPr>
      <w:r>
        <w:rPr>
          <w:rFonts w:ascii="Arial" w:hAnsi="Arial" w:cs="Arial"/>
          <w:sz w:val="20"/>
        </w:rPr>
        <w:t>LPA</w:t>
      </w:r>
      <w:r w:rsidR="00A4157A">
        <w:rPr>
          <w:rFonts w:ascii="Arial" w:hAnsi="Arial" w:cs="Arial"/>
          <w:sz w:val="20"/>
        </w:rPr>
        <w:t xml:space="preserve"> made several submissions </w:t>
      </w:r>
      <w:r w:rsidR="0058508C">
        <w:rPr>
          <w:rFonts w:ascii="Arial" w:hAnsi="Arial" w:cs="Arial"/>
          <w:sz w:val="20"/>
        </w:rPr>
        <w:t xml:space="preserve">to </w:t>
      </w:r>
      <w:r w:rsidR="00A4157A">
        <w:rPr>
          <w:rFonts w:ascii="Arial" w:hAnsi="Arial" w:cs="Arial"/>
          <w:sz w:val="20"/>
        </w:rPr>
        <w:t xml:space="preserve">and was actively involved in the most recent ACCC reauthorisation process </w:t>
      </w:r>
      <w:r w:rsidR="00A968A9">
        <w:rPr>
          <w:rFonts w:ascii="Arial" w:hAnsi="Arial" w:cs="Arial"/>
          <w:sz w:val="20"/>
        </w:rPr>
        <w:t xml:space="preserve">for APRA </w:t>
      </w:r>
      <w:r w:rsidR="00A4157A">
        <w:rPr>
          <w:rFonts w:ascii="Arial" w:hAnsi="Arial" w:cs="Arial"/>
          <w:sz w:val="20"/>
        </w:rPr>
        <w:t>in 2013-1</w:t>
      </w:r>
      <w:r w:rsidR="00A968A9">
        <w:rPr>
          <w:rFonts w:ascii="Arial" w:hAnsi="Arial" w:cs="Arial"/>
          <w:sz w:val="20"/>
        </w:rPr>
        <w:t>4. LPA recognises</w:t>
      </w:r>
      <w:r w:rsidR="000A33BC" w:rsidRPr="00FF2F2E">
        <w:rPr>
          <w:rFonts w:ascii="Arial" w:hAnsi="Arial" w:cs="Arial"/>
          <w:sz w:val="20"/>
        </w:rPr>
        <w:t xml:space="preserve"> that the conditions</w:t>
      </w:r>
      <w:r w:rsidR="00493BC9">
        <w:rPr>
          <w:rFonts w:ascii="Arial" w:hAnsi="Arial" w:cs="Arial"/>
          <w:sz w:val="20"/>
        </w:rPr>
        <w:t xml:space="preserve"> </w:t>
      </w:r>
      <w:r w:rsidR="00A968A9">
        <w:rPr>
          <w:rFonts w:ascii="Arial" w:hAnsi="Arial" w:cs="Arial"/>
          <w:sz w:val="20"/>
        </w:rPr>
        <w:t xml:space="preserve">for APRA’s reauthorisation determined </w:t>
      </w:r>
      <w:r w:rsidR="00493BC9">
        <w:rPr>
          <w:rFonts w:ascii="Arial" w:hAnsi="Arial" w:cs="Arial"/>
          <w:sz w:val="20"/>
        </w:rPr>
        <w:t xml:space="preserve">by the </w:t>
      </w:r>
      <w:r w:rsidR="000A33BC" w:rsidRPr="00FF2F2E">
        <w:rPr>
          <w:rFonts w:ascii="Arial" w:hAnsi="Arial" w:cs="Arial"/>
          <w:sz w:val="20"/>
        </w:rPr>
        <w:t>ACCC has</w:t>
      </w:r>
      <w:r w:rsidR="0001442A">
        <w:rPr>
          <w:rFonts w:ascii="Arial" w:hAnsi="Arial" w:cs="Arial"/>
          <w:sz w:val="20"/>
        </w:rPr>
        <w:t xml:space="preserve"> led to</w:t>
      </w:r>
      <w:r w:rsidR="000A33BC" w:rsidRPr="00FF2F2E">
        <w:rPr>
          <w:rFonts w:ascii="Arial" w:hAnsi="Arial" w:cs="Arial"/>
          <w:sz w:val="20"/>
        </w:rPr>
        <w:t xml:space="preserve"> improved </w:t>
      </w:r>
      <w:r w:rsidR="00A4157A">
        <w:rPr>
          <w:rFonts w:ascii="Arial" w:hAnsi="Arial" w:cs="Arial"/>
          <w:sz w:val="20"/>
        </w:rPr>
        <w:t xml:space="preserve">transactions and </w:t>
      </w:r>
      <w:r w:rsidR="0058508C">
        <w:rPr>
          <w:rFonts w:ascii="Arial" w:hAnsi="Arial" w:cs="Arial"/>
          <w:sz w:val="20"/>
        </w:rPr>
        <w:t>transparency</w:t>
      </w:r>
      <w:r w:rsidR="000A33BC" w:rsidRPr="00FF2F2E">
        <w:rPr>
          <w:rFonts w:ascii="Arial" w:hAnsi="Arial" w:cs="Arial"/>
          <w:sz w:val="20"/>
        </w:rPr>
        <w:t xml:space="preserve"> in accordance with </w:t>
      </w:r>
      <w:r w:rsidR="00493BC9">
        <w:rPr>
          <w:rFonts w:ascii="Arial" w:hAnsi="Arial" w:cs="Arial"/>
          <w:sz w:val="20"/>
        </w:rPr>
        <w:t xml:space="preserve">the </w:t>
      </w:r>
      <w:r w:rsidR="000A33BC" w:rsidRPr="00FF2F2E">
        <w:rPr>
          <w:rFonts w:ascii="Arial" w:hAnsi="Arial" w:cs="Arial"/>
          <w:sz w:val="20"/>
        </w:rPr>
        <w:t>conditions set</w:t>
      </w:r>
      <w:r w:rsidR="0058508C">
        <w:rPr>
          <w:rFonts w:ascii="Arial" w:hAnsi="Arial" w:cs="Arial"/>
          <w:sz w:val="20"/>
        </w:rPr>
        <w:t>. This has served to address some of the concerns LPA has raised in recent years.</w:t>
      </w:r>
    </w:p>
    <w:p w:rsidR="000A33BC" w:rsidRDefault="000A33BC" w:rsidP="004766D9">
      <w:pPr>
        <w:spacing w:line="300" w:lineRule="exact"/>
        <w:ind w:right="266"/>
        <w:rPr>
          <w:rFonts w:ascii="Arial" w:hAnsi="Arial" w:cs="Arial"/>
          <w:sz w:val="20"/>
        </w:rPr>
      </w:pPr>
    </w:p>
    <w:p w:rsidR="001347EA" w:rsidRPr="001347EA" w:rsidRDefault="001347EA" w:rsidP="001347EA">
      <w:pPr>
        <w:spacing w:line="300" w:lineRule="exact"/>
        <w:ind w:left="-284" w:right="266"/>
        <w:rPr>
          <w:rFonts w:ascii="Arial" w:hAnsi="Arial" w:cs="Arial"/>
          <w:b/>
          <w:color w:val="CC1543"/>
          <w:sz w:val="20"/>
        </w:rPr>
      </w:pPr>
      <w:r>
        <w:rPr>
          <w:rFonts w:ascii="Arial" w:hAnsi="Arial" w:cs="Arial"/>
          <w:b/>
          <w:color w:val="CC1543"/>
          <w:sz w:val="20"/>
        </w:rPr>
        <w:t>Governance and Oversight</w:t>
      </w:r>
    </w:p>
    <w:p w:rsidR="001347EA" w:rsidRDefault="001347EA" w:rsidP="004766D9">
      <w:pPr>
        <w:spacing w:line="300" w:lineRule="exact"/>
        <w:ind w:right="266"/>
        <w:rPr>
          <w:rFonts w:ascii="Arial" w:hAnsi="Arial" w:cs="Arial"/>
          <w:sz w:val="20"/>
        </w:rPr>
      </w:pPr>
    </w:p>
    <w:p w:rsidR="000B1C5C" w:rsidRDefault="00FC1B48" w:rsidP="000B1C5C">
      <w:pPr>
        <w:pStyle w:val="ListParagraph"/>
        <w:numPr>
          <w:ilvl w:val="0"/>
          <w:numId w:val="3"/>
        </w:numPr>
        <w:spacing w:line="300" w:lineRule="exact"/>
        <w:ind w:right="266"/>
        <w:rPr>
          <w:rFonts w:ascii="Arial" w:hAnsi="Arial" w:cs="Arial"/>
          <w:sz w:val="20"/>
        </w:rPr>
      </w:pPr>
      <w:r>
        <w:rPr>
          <w:rFonts w:ascii="Arial" w:hAnsi="Arial" w:cs="Arial"/>
          <w:sz w:val="20"/>
        </w:rPr>
        <w:t xml:space="preserve">LPA Members depend upon the ability </w:t>
      </w:r>
      <w:r w:rsidR="00A4157A" w:rsidRPr="00A4157A">
        <w:rPr>
          <w:rFonts w:ascii="Arial" w:hAnsi="Arial" w:cs="Arial"/>
          <w:sz w:val="20"/>
        </w:rPr>
        <w:t>to licence the use of music works</w:t>
      </w:r>
      <w:r>
        <w:rPr>
          <w:rFonts w:ascii="Arial" w:hAnsi="Arial" w:cs="Arial"/>
          <w:sz w:val="20"/>
        </w:rPr>
        <w:t xml:space="preserve"> in a</w:t>
      </w:r>
      <w:r w:rsidR="00A4157A" w:rsidRPr="00A4157A">
        <w:rPr>
          <w:rFonts w:ascii="Arial" w:hAnsi="Arial" w:cs="Arial"/>
          <w:sz w:val="20"/>
        </w:rPr>
        <w:t xml:space="preserve"> fair</w:t>
      </w:r>
      <w:r>
        <w:rPr>
          <w:rFonts w:ascii="Arial" w:hAnsi="Arial" w:cs="Arial"/>
          <w:sz w:val="20"/>
        </w:rPr>
        <w:t xml:space="preserve">, </w:t>
      </w:r>
      <w:r w:rsidR="00A4157A" w:rsidRPr="00A4157A">
        <w:rPr>
          <w:rFonts w:ascii="Arial" w:hAnsi="Arial" w:cs="Arial"/>
          <w:sz w:val="20"/>
        </w:rPr>
        <w:t xml:space="preserve">efficient </w:t>
      </w:r>
      <w:r>
        <w:rPr>
          <w:rFonts w:ascii="Arial" w:hAnsi="Arial" w:cs="Arial"/>
          <w:sz w:val="20"/>
        </w:rPr>
        <w:t xml:space="preserve">and </w:t>
      </w:r>
      <w:r w:rsidR="00A2460C">
        <w:rPr>
          <w:rFonts w:ascii="Arial" w:hAnsi="Arial" w:cs="Arial"/>
          <w:sz w:val="20"/>
        </w:rPr>
        <w:t xml:space="preserve">timely manner </w:t>
      </w:r>
      <w:r w:rsidR="00A4157A" w:rsidRPr="00A4157A">
        <w:rPr>
          <w:rFonts w:ascii="Arial" w:hAnsi="Arial" w:cs="Arial"/>
          <w:sz w:val="20"/>
        </w:rPr>
        <w:t xml:space="preserve">to maintain their business operations, such as promoting live music concerts and producing live shows. </w:t>
      </w:r>
      <w:r w:rsidR="0058508C">
        <w:rPr>
          <w:rFonts w:ascii="Arial" w:hAnsi="Arial" w:cs="Arial"/>
          <w:sz w:val="20"/>
        </w:rPr>
        <w:t xml:space="preserve">Despite recent improvements in the licensing experience between APRA and </w:t>
      </w:r>
      <w:r>
        <w:rPr>
          <w:rFonts w:ascii="Arial" w:hAnsi="Arial" w:cs="Arial"/>
          <w:sz w:val="20"/>
        </w:rPr>
        <w:t>our Members</w:t>
      </w:r>
      <w:r w:rsidR="0058508C">
        <w:rPr>
          <w:rFonts w:ascii="Arial" w:hAnsi="Arial" w:cs="Arial"/>
          <w:sz w:val="20"/>
        </w:rPr>
        <w:t xml:space="preserve">, as </w:t>
      </w:r>
      <w:r w:rsidR="0058508C" w:rsidRPr="0058508C">
        <w:rPr>
          <w:rFonts w:ascii="Arial" w:hAnsi="Arial" w:cs="Arial"/>
          <w:sz w:val="20"/>
        </w:rPr>
        <w:t>recognised in the Productivit</w:t>
      </w:r>
      <w:r w:rsidR="00263F8E">
        <w:rPr>
          <w:rFonts w:ascii="Arial" w:hAnsi="Arial" w:cs="Arial"/>
          <w:sz w:val="20"/>
        </w:rPr>
        <w:t>y Commission’s recent findings</w:t>
      </w:r>
      <w:r w:rsidR="00263F8E">
        <w:rPr>
          <w:rStyle w:val="FootnoteReference"/>
          <w:rFonts w:ascii="Arial" w:hAnsi="Arial" w:cs="Arial"/>
          <w:sz w:val="20"/>
        </w:rPr>
        <w:footnoteReference w:id="2"/>
      </w:r>
      <w:r w:rsidR="00263F8E">
        <w:rPr>
          <w:rFonts w:ascii="Arial" w:hAnsi="Arial" w:cs="Arial"/>
          <w:sz w:val="20"/>
        </w:rPr>
        <w:t xml:space="preserve"> </w:t>
      </w:r>
      <w:r w:rsidR="00991E80">
        <w:rPr>
          <w:rFonts w:ascii="Arial" w:hAnsi="Arial" w:cs="Arial"/>
          <w:sz w:val="20"/>
        </w:rPr>
        <w:t xml:space="preserve">content users are disadvantaged by </w:t>
      </w:r>
      <w:r>
        <w:rPr>
          <w:rFonts w:ascii="Arial" w:hAnsi="Arial" w:cs="Arial"/>
          <w:sz w:val="20"/>
        </w:rPr>
        <w:t xml:space="preserve">an </w:t>
      </w:r>
      <w:r w:rsidR="00434EA6" w:rsidRPr="00E13FDA">
        <w:rPr>
          <w:rFonts w:ascii="Arial" w:hAnsi="Arial" w:cs="Arial"/>
          <w:sz w:val="20"/>
        </w:rPr>
        <w:t xml:space="preserve">imbalance </w:t>
      </w:r>
      <w:r w:rsidR="00991E80">
        <w:rPr>
          <w:rFonts w:ascii="Arial" w:hAnsi="Arial" w:cs="Arial"/>
          <w:sz w:val="20"/>
        </w:rPr>
        <w:t>that</w:t>
      </w:r>
      <w:r w:rsidR="00434EA6" w:rsidRPr="00E13FDA">
        <w:rPr>
          <w:rFonts w:ascii="Arial" w:hAnsi="Arial" w:cs="Arial"/>
          <w:sz w:val="20"/>
        </w:rPr>
        <w:t xml:space="preserve"> e</w:t>
      </w:r>
      <w:r w:rsidR="00F4256E">
        <w:rPr>
          <w:rFonts w:ascii="Arial" w:hAnsi="Arial" w:cs="Arial"/>
          <w:sz w:val="20"/>
        </w:rPr>
        <w:t xml:space="preserve">xists between licensees and </w:t>
      </w:r>
      <w:r w:rsidR="00434EA6" w:rsidRPr="00E13FDA">
        <w:rPr>
          <w:rFonts w:ascii="Arial" w:hAnsi="Arial" w:cs="Arial"/>
          <w:sz w:val="20"/>
        </w:rPr>
        <w:t xml:space="preserve">collecting </w:t>
      </w:r>
      <w:r w:rsidR="00973136" w:rsidRPr="00E13FDA">
        <w:rPr>
          <w:rFonts w:ascii="Arial" w:hAnsi="Arial" w:cs="Arial"/>
          <w:sz w:val="20"/>
        </w:rPr>
        <w:t>societies</w:t>
      </w:r>
      <w:r w:rsidR="00991E80">
        <w:rPr>
          <w:rFonts w:ascii="Arial" w:hAnsi="Arial" w:cs="Arial"/>
          <w:sz w:val="20"/>
        </w:rPr>
        <w:t>.</w:t>
      </w:r>
      <w:r w:rsidR="00434EA6" w:rsidRPr="00E13FDA">
        <w:rPr>
          <w:rFonts w:ascii="Arial" w:hAnsi="Arial" w:cs="Arial"/>
          <w:sz w:val="20"/>
        </w:rPr>
        <w:t xml:space="preserve"> </w:t>
      </w:r>
    </w:p>
    <w:p w:rsidR="00053554" w:rsidRDefault="00991E80" w:rsidP="00945278">
      <w:pPr>
        <w:pStyle w:val="ListParagraph"/>
        <w:numPr>
          <w:ilvl w:val="0"/>
          <w:numId w:val="3"/>
        </w:numPr>
        <w:spacing w:line="300" w:lineRule="exact"/>
        <w:ind w:right="266"/>
        <w:rPr>
          <w:rFonts w:ascii="Arial" w:hAnsi="Arial" w:cs="Arial"/>
          <w:sz w:val="20"/>
        </w:rPr>
      </w:pPr>
      <w:r>
        <w:rPr>
          <w:rFonts w:ascii="Arial" w:hAnsi="Arial" w:cs="Arial"/>
          <w:sz w:val="20"/>
        </w:rPr>
        <w:lastRenderedPageBreak/>
        <w:t xml:space="preserve">The voluntary operation of the Code and other current governance arrangements do not effectively </w:t>
      </w:r>
      <w:r w:rsidR="00945278">
        <w:rPr>
          <w:rFonts w:ascii="Arial" w:hAnsi="Arial" w:cs="Arial"/>
          <w:sz w:val="20"/>
        </w:rPr>
        <w:t xml:space="preserve">mitigate against the monopolistic stronghold that copyright collecting societies can exert over the copyright material </w:t>
      </w:r>
      <w:r w:rsidR="007D2BD2">
        <w:rPr>
          <w:rFonts w:ascii="Arial" w:hAnsi="Arial" w:cs="Arial"/>
          <w:sz w:val="20"/>
        </w:rPr>
        <w:t xml:space="preserve">they are authorised to licence. As a result, imbalanced collective copyright arrangements exist that disadvantage licensees. </w:t>
      </w:r>
      <w:r w:rsidR="00053554">
        <w:rPr>
          <w:rFonts w:ascii="Arial" w:hAnsi="Arial" w:cs="Arial"/>
          <w:sz w:val="20"/>
        </w:rPr>
        <w:br/>
      </w:r>
    </w:p>
    <w:p w:rsidR="00945278" w:rsidRDefault="00687E28" w:rsidP="00687E28">
      <w:pPr>
        <w:pStyle w:val="ListParagraph"/>
        <w:numPr>
          <w:ilvl w:val="1"/>
          <w:numId w:val="3"/>
        </w:numPr>
        <w:spacing w:line="300" w:lineRule="exact"/>
        <w:ind w:right="266"/>
        <w:rPr>
          <w:rFonts w:ascii="Arial" w:hAnsi="Arial" w:cs="Arial"/>
          <w:sz w:val="20"/>
        </w:rPr>
      </w:pPr>
      <w:r>
        <w:rPr>
          <w:rFonts w:ascii="Arial" w:hAnsi="Arial" w:cs="Arial"/>
          <w:sz w:val="20"/>
        </w:rPr>
        <w:t>Firstly, there is no</w:t>
      </w:r>
      <w:r w:rsidRPr="00687E28">
        <w:rPr>
          <w:rFonts w:ascii="Arial" w:hAnsi="Arial" w:cs="Arial"/>
          <w:sz w:val="20"/>
        </w:rPr>
        <w:t xml:space="preserve"> accessible avenue for licensees to seek an independent and enforceable determination on</w:t>
      </w:r>
      <w:r>
        <w:rPr>
          <w:rFonts w:ascii="Arial" w:hAnsi="Arial" w:cs="Arial"/>
          <w:sz w:val="20"/>
        </w:rPr>
        <w:t xml:space="preserve"> licence fees and conditions. T</w:t>
      </w:r>
      <w:r w:rsidR="007D2BD2">
        <w:rPr>
          <w:rFonts w:ascii="Arial" w:hAnsi="Arial" w:cs="Arial"/>
          <w:sz w:val="20"/>
        </w:rPr>
        <w:t>he</w:t>
      </w:r>
      <w:r w:rsidR="009D4F87">
        <w:rPr>
          <w:rFonts w:ascii="Arial" w:hAnsi="Arial" w:cs="Arial"/>
          <w:sz w:val="20"/>
        </w:rPr>
        <w:t xml:space="preserve"> Copyright Tribunal is the only </w:t>
      </w:r>
      <w:r w:rsidR="007D2BD2">
        <w:rPr>
          <w:rFonts w:ascii="Arial" w:hAnsi="Arial" w:cs="Arial"/>
          <w:sz w:val="20"/>
        </w:rPr>
        <w:t xml:space="preserve">independent </w:t>
      </w:r>
      <w:r w:rsidR="009D4F87">
        <w:rPr>
          <w:rFonts w:ascii="Arial" w:hAnsi="Arial" w:cs="Arial"/>
          <w:sz w:val="20"/>
        </w:rPr>
        <w:t>body that can</w:t>
      </w:r>
      <w:r w:rsidR="007D2BD2">
        <w:rPr>
          <w:rFonts w:ascii="Arial" w:hAnsi="Arial" w:cs="Arial"/>
          <w:sz w:val="20"/>
        </w:rPr>
        <w:t xml:space="preserve"> determin</w:t>
      </w:r>
      <w:r w:rsidR="009D4F87">
        <w:rPr>
          <w:rFonts w:ascii="Arial" w:hAnsi="Arial" w:cs="Arial"/>
          <w:sz w:val="20"/>
        </w:rPr>
        <w:t>e</w:t>
      </w:r>
      <w:r w:rsidR="007D2BD2">
        <w:rPr>
          <w:rFonts w:ascii="Arial" w:hAnsi="Arial" w:cs="Arial"/>
          <w:sz w:val="20"/>
        </w:rPr>
        <w:t xml:space="preserve"> the fees and conditions for licences in accordance with </w:t>
      </w:r>
      <w:r w:rsidR="000A6C75">
        <w:rPr>
          <w:rFonts w:ascii="Arial" w:hAnsi="Arial" w:cs="Arial"/>
          <w:sz w:val="20"/>
        </w:rPr>
        <w:t xml:space="preserve">the </w:t>
      </w:r>
      <w:r w:rsidR="007D2BD2">
        <w:rPr>
          <w:rFonts w:ascii="Arial" w:hAnsi="Arial" w:cs="Arial"/>
          <w:sz w:val="20"/>
        </w:rPr>
        <w:t xml:space="preserve">market value of </w:t>
      </w:r>
      <w:r w:rsidR="000A6C75">
        <w:rPr>
          <w:rFonts w:ascii="Arial" w:hAnsi="Arial" w:cs="Arial"/>
          <w:sz w:val="20"/>
        </w:rPr>
        <w:t>c</w:t>
      </w:r>
      <w:r w:rsidR="007D2BD2">
        <w:rPr>
          <w:rFonts w:ascii="Arial" w:hAnsi="Arial" w:cs="Arial"/>
          <w:sz w:val="20"/>
        </w:rPr>
        <w:t>ontent</w:t>
      </w:r>
      <w:r w:rsidR="000A6C75">
        <w:rPr>
          <w:rFonts w:ascii="Arial" w:hAnsi="Arial" w:cs="Arial"/>
          <w:sz w:val="20"/>
        </w:rPr>
        <w:t xml:space="preserve"> and how it is</w:t>
      </w:r>
      <w:r w:rsidR="007D2BD2">
        <w:rPr>
          <w:rFonts w:ascii="Arial" w:hAnsi="Arial" w:cs="Arial"/>
          <w:sz w:val="20"/>
        </w:rPr>
        <w:t xml:space="preserve"> used</w:t>
      </w:r>
      <w:r w:rsidR="009D4F87">
        <w:rPr>
          <w:rFonts w:ascii="Arial" w:hAnsi="Arial" w:cs="Arial"/>
          <w:sz w:val="20"/>
        </w:rPr>
        <w:t>.</w:t>
      </w:r>
      <w:r w:rsidR="004A244E">
        <w:rPr>
          <w:rFonts w:ascii="Arial" w:hAnsi="Arial" w:cs="Arial"/>
          <w:sz w:val="20"/>
        </w:rPr>
        <w:t xml:space="preserve"> However, i</w:t>
      </w:r>
      <w:r w:rsidR="009D4F87">
        <w:rPr>
          <w:rFonts w:ascii="Arial" w:hAnsi="Arial" w:cs="Arial"/>
          <w:sz w:val="20"/>
        </w:rPr>
        <w:t xml:space="preserve">n cases where licensees disagree with the conditions </w:t>
      </w:r>
      <w:r w:rsidR="008A474B">
        <w:rPr>
          <w:rFonts w:ascii="Arial" w:hAnsi="Arial" w:cs="Arial"/>
          <w:sz w:val="20"/>
        </w:rPr>
        <w:t xml:space="preserve">or fees </w:t>
      </w:r>
      <w:r w:rsidR="009D4F87">
        <w:rPr>
          <w:rFonts w:ascii="Arial" w:hAnsi="Arial" w:cs="Arial"/>
          <w:sz w:val="20"/>
        </w:rPr>
        <w:t>of a licence scheme it is significantly co</w:t>
      </w:r>
      <w:r w:rsidR="008A474B">
        <w:rPr>
          <w:rFonts w:ascii="Arial" w:hAnsi="Arial" w:cs="Arial"/>
          <w:sz w:val="20"/>
        </w:rPr>
        <w:t>stly and onerous</w:t>
      </w:r>
      <w:r w:rsidR="004A244E">
        <w:rPr>
          <w:rFonts w:ascii="Arial" w:hAnsi="Arial" w:cs="Arial"/>
          <w:sz w:val="20"/>
        </w:rPr>
        <w:t xml:space="preserve"> to pursue proceedings through</w:t>
      </w:r>
      <w:r w:rsidR="008A474B">
        <w:rPr>
          <w:rFonts w:ascii="Arial" w:hAnsi="Arial" w:cs="Arial"/>
          <w:sz w:val="20"/>
        </w:rPr>
        <w:t xml:space="preserve"> the Copyright Tribunal. </w:t>
      </w:r>
      <w:r w:rsidR="00040A06">
        <w:rPr>
          <w:rFonts w:ascii="Arial" w:hAnsi="Arial" w:cs="Arial"/>
          <w:sz w:val="20"/>
        </w:rPr>
        <w:t xml:space="preserve">The lack of accessible means to pursue an independent determination </w:t>
      </w:r>
      <w:r w:rsidR="0085323C">
        <w:rPr>
          <w:rFonts w:ascii="Arial" w:hAnsi="Arial" w:cs="Arial"/>
          <w:sz w:val="20"/>
        </w:rPr>
        <w:t xml:space="preserve">creates scope for copyright collecting societies to </w:t>
      </w:r>
      <w:r w:rsidR="000A6C75">
        <w:rPr>
          <w:rFonts w:ascii="Arial" w:hAnsi="Arial" w:cs="Arial"/>
          <w:sz w:val="20"/>
        </w:rPr>
        <w:t>set</w:t>
      </w:r>
      <w:r>
        <w:rPr>
          <w:rFonts w:ascii="Arial" w:hAnsi="Arial" w:cs="Arial"/>
          <w:sz w:val="20"/>
        </w:rPr>
        <w:t xml:space="preserve"> unchallenged </w:t>
      </w:r>
      <w:r w:rsidR="0085323C">
        <w:rPr>
          <w:rFonts w:ascii="Arial" w:hAnsi="Arial" w:cs="Arial"/>
          <w:sz w:val="20"/>
        </w:rPr>
        <w:t xml:space="preserve">arbitrary licence fees and conditions </w:t>
      </w:r>
      <w:r w:rsidR="000A6C75">
        <w:rPr>
          <w:rFonts w:ascii="Arial" w:hAnsi="Arial" w:cs="Arial"/>
          <w:sz w:val="20"/>
        </w:rPr>
        <w:t>that do not accurately reflect</w:t>
      </w:r>
      <w:r w:rsidR="00A2460C">
        <w:rPr>
          <w:rFonts w:ascii="Arial" w:hAnsi="Arial" w:cs="Arial"/>
          <w:sz w:val="20"/>
        </w:rPr>
        <w:t xml:space="preserve"> the value of content </w:t>
      </w:r>
      <w:r w:rsidR="000A6C75">
        <w:rPr>
          <w:rFonts w:ascii="Arial" w:hAnsi="Arial" w:cs="Arial"/>
          <w:sz w:val="20"/>
        </w:rPr>
        <w:t>within the context in which it is being used</w:t>
      </w:r>
      <w:r w:rsidR="00053554">
        <w:rPr>
          <w:rFonts w:ascii="Arial" w:hAnsi="Arial" w:cs="Arial"/>
          <w:sz w:val="20"/>
        </w:rPr>
        <w:t>.</w:t>
      </w:r>
      <w:r w:rsidR="00263F8E">
        <w:rPr>
          <w:rFonts w:ascii="Arial" w:hAnsi="Arial" w:cs="Arial"/>
          <w:sz w:val="20"/>
        </w:rPr>
        <w:br/>
      </w:r>
    </w:p>
    <w:p w:rsidR="00CD175D" w:rsidRDefault="00053554" w:rsidP="00CD175D">
      <w:pPr>
        <w:pStyle w:val="ListParagraph"/>
        <w:numPr>
          <w:ilvl w:val="1"/>
          <w:numId w:val="3"/>
        </w:numPr>
        <w:spacing w:line="300" w:lineRule="exact"/>
        <w:ind w:right="266"/>
        <w:rPr>
          <w:rFonts w:ascii="Arial" w:hAnsi="Arial" w:cs="Arial"/>
          <w:sz w:val="20"/>
        </w:rPr>
      </w:pPr>
      <w:r w:rsidRPr="00D43D08">
        <w:rPr>
          <w:rFonts w:ascii="Arial" w:hAnsi="Arial" w:cs="Arial"/>
          <w:sz w:val="20"/>
        </w:rPr>
        <w:t>Secondly, there is a lack of effective recourse for licensees to pursue efficient, fair and independent resolution of licensing disputes with collecting societies.</w:t>
      </w:r>
      <w:r w:rsidR="00A2460C" w:rsidRPr="00D43D08">
        <w:rPr>
          <w:rFonts w:ascii="Arial" w:hAnsi="Arial" w:cs="Arial"/>
          <w:sz w:val="20"/>
        </w:rPr>
        <w:t xml:space="preserve"> </w:t>
      </w:r>
      <w:r w:rsidR="00170494">
        <w:rPr>
          <w:rFonts w:ascii="Arial" w:hAnsi="Arial" w:cs="Arial"/>
          <w:sz w:val="20"/>
        </w:rPr>
        <w:t xml:space="preserve">LPA acknowledges the efforts by APRA to implement an independent Alternative Dispute Resolution (ADR) scheme as a condition of their recent reauthorisation. However, in practice </w:t>
      </w:r>
      <w:r w:rsidR="004A244E">
        <w:rPr>
          <w:rFonts w:ascii="Arial" w:hAnsi="Arial" w:cs="Arial"/>
          <w:sz w:val="20"/>
        </w:rPr>
        <w:t xml:space="preserve">due to resourcing and time constraints </w:t>
      </w:r>
      <w:r w:rsidR="00170494">
        <w:rPr>
          <w:rFonts w:ascii="Arial" w:hAnsi="Arial" w:cs="Arial"/>
          <w:sz w:val="20"/>
        </w:rPr>
        <w:t xml:space="preserve">licensees can be disadvantaged in pursuing disputes through ADR. </w:t>
      </w:r>
      <w:r w:rsidR="00D43D08">
        <w:rPr>
          <w:rFonts w:ascii="Arial" w:hAnsi="Arial" w:cs="Arial"/>
          <w:sz w:val="20"/>
        </w:rPr>
        <w:t>Collecting societies have access to resources that far outweigh what</w:t>
      </w:r>
      <w:r w:rsidR="00CD175D">
        <w:rPr>
          <w:rFonts w:ascii="Arial" w:hAnsi="Arial" w:cs="Arial"/>
          <w:sz w:val="20"/>
        </w:rPr>
        <w:t xml:space="preserve"> individual</w:t>
      </w:r>
      <w:r w:rsidR="00D43D08">
        <w:rPr>
          <w:rFonts w:ascii="Arial" w:hAnsi="Arial" w:cs="Arial"/>
          <w:sz w:val="20"/>
        </w:rPr>
        <w:t xml:space="preserve"> licensees </w:t>
      </w:r>
      <w:r w:rsidR="000A6C75">
        <w:rPr>
          <w:rFonts w:ascii="Arial" w:hAnsi="Arial" w:cs="Arial"/>
          <w:sz w:val="20"/>
        </w:rPr>
        <w:t xml:space="preserve">have to resolve </w:t>
      </w:r>
      <w:r w:rsidR="00CD175D">
        <w:rPr>
          <w:rFonts w:ascii="Arial" w:hAnsi="Arial" w:cs="Arial"/>
          <w:sz w:val="20"/>
        </w:rPr>
        <w:t xml:space="preserve">disputes. Additionally, </w:t>
      </w:r>
      <w:r w:rsidR="00A2460C" w:rsidRPr="00D43D08">
        <w:rPr>
          <w:rFonts w:ascii="Arial" w:hAnsi="Arial" w:cs="Arial"/>
          <w:sz w:val="20"/>
        </w:rPr>
        <w:t xml:space="preserve">licensees in the live performance </w:t>
      </w:r>
      <w:r w:rsidR="00D43D08" w:rsidRPr="00D43D08">
        <w:rPr>
          <w:rFonts w:ascii="Arial" w:hAnsi="Arial" w:cs="Arial"/>
          <w:sz w:val="20"/>
        </w:rPr>
        <w:t xml:space="preserve">industry </w:t>
      </w:r>
      <w:r w:rsidR="00A2460C" w:rsidRPr="00D43D08">
        <w:rPr>
          <w:rFonts w:ascii="Arial" w:hAnsi="Arial" w:cs="Arial"/>
          <w:sz w:val="20"/>
        </w:rPr>
        <w:t xml:space="preserve">are dependent on collecting societies to issue licences for </w:t>
      </w:r>
      <w:r w:rsidR="00D43D08" w:rsidRPr="00D43D08">
        <w:rPr>
          <w:rFonts w:ascii="Arial" w:hAnsi="Arial" w:cs="Arial"/>
          <w:sz w:val="20"/>
        </w:rPr>
        <w:t xml:space="preserve">the </w:t>
      </w:r>
      <w:r w:rsidR="00A2460C" w:rsidRPr="00D43D08">
        <w:rPr>
          <w:rFonts w:ascii="Arial" w:hAnsi="Arial" w:cs="Arial"/>
          <w:sz w:val="20"/>
        </w:rPr>
        <w:t xml:space="preserve">use </w:t>
      </w:r>
      <w:r w:rsidR="00D43D08" w:rsidRPr="00D43D08">
        <w:rPr>
          <w:rFonts w:ascii="Arial" w:hAnsi="Arial" w:cs="Arial"/>
          <w:sz w:val="20"/>
        </w:rPr>
        <w:t xml:space="preserve">of music within a reasonable timeframe prior to productions or concerts being presented. As such, </w:t>
      </w:r>
      <w:r w:rsidR="00D43D08">
        <w:rPr>
          <w:rFonts w:ascii="Arial" w:hAnsi="Arial" w:cs="Arial"/>
          <w:sz w:val="20"/>
        </w:rPr>
        <w:t>l</w:t>
      </w:r>
      <w:r w:rsidR="00D43D08" w:rsidRPr="00D43D08">
        <w:rPr>
          <w:rFonts w:ascii="Arial" w:hAnsi="Arial" w:cs="Arial"/>
          <w:sz w:val="20"/>
        </w:rPr>
        <w:t xml:space="preserve">icensees </w:t>
      </w:r>
      <w:r w:rsidR="00610040" w:rsidRPr="00D43D08">
        <w:rPr>
          <w:rFonts w:ascii="Arial" w:hAnsi="Arial" w:cs="Arial"/>
          <w:sz w:val="20"/>
        </w:rPr>
        <w:t xml:space="preserve">are not in </w:t>
      </w:r>
      <w:r w:rsidR="00D43D08" w:rsidRPr="00D43D08">
        <w:rPr>
          <w:rFonts w:ascii="Arial" w:hAnsi="Arial" w:cs="Arial"/>
          <w:sz w:val="20"/>
        </w:rPr>
        <w:t>a</w:t>
      </w:r>
      <w:r w:rsidR="00610040" w:rsidRPr="00D43D08">
        <w:rPr>
          <w:rFonts w:ascii="Arial" w:hAnsi="Arial" w:cs="Arial"/>
          <w:sz w:val="20"/>
        </w:rPr>
        <w:t xml:space="preserve"> position to pursue costly and lengthy disputes with a collecting society.</w:t>
      </w:r>
      <w:r w:rsidR="00CD175D">
        <w:rPr>
          <w:rFonts w:ascii="Arial" w:hAnsi="Arial" w:cs="Arial"/>
          <w:sz w:val="20"/>
        </w:rPr>
        <w:t xml:space="preserve"> The lack of</w:t>
      </w:r>
      <w:r w:rsidR="00170494">
        <w:rPr>
          <w:rFonts w:ascii="Arial" w:hAnsi="Arial" w:cs="Arial"/>
          <w:sz w:val="20"/>
        </w:rPr>
        <w:t xml:space="preserve"> </w:t>
      </w:r>
      <w:r w:rsidR="00170494">
        <w:rPr>
          <w:rFonts w:ascii="Arial" w:hAnsi="Arial" w:cs="Arial"/>
          <w:sz w:val="20"/>
        </w:rPr>
        <w:t>independent dispute resolution options</w:t>
      </w:r>
      <w:r w:rsidR="00170494">
        <w:rPr>
          <w:rFonts w:ascii="Arial" w:hAnsi="Arial" w:cs="Arial"/>
          <w:sz w:val="20"/>
        </w:rPr>
        <w:t xml:space="preserve"> that are also</w:t>
      </w:r>
      <w:r w:rsidR="00CD175D">
        <w:rPr>
          <w:rFonts w:ascii="Arial" w:hAnsi="Arial" w:cs="Arial"/>
          <w:sz w:val="20"/>
        </w:rPr>
        <w:t xml:space="preserve"> </w:t>
      </w:r>
      <w:r w:rsidR="00170494">
        <w:rPr>
          <w:rFonts w:ascii="Arial" w:hAnsi="Arial" w:cs="Arial"/>
          <w:sz w:val="20"/>
        </w:rPr>
        <w:t xml:space="preserve">efficient, accessible and </w:t>
      </w:r>
      <w:r w:rsidR="00CD175D">
        <w:rPr>
          <w:rFonts w:ascii="Arial" w:hAnsi="Arial" w:cs="Arial"/>
          <w:sz w:val="20"/>
        </w:rPr>
        <w:t>enforceable further disadvantages licensees in their dealings with copyright collecting societies.</w:t>
      </w:r>
      <w:r w:rsidR="00263F8E">
        <w:rPr>
          <w:rFonts w:ascii="Arial" w:hAnsi="Arial" w:cs="Arial"/>
          <w:sz w:val="20"/>
        </w:rPr>
        <w:br/>
      </w:r>
    </w:p>
    <w:p w:rsidR="00E13FDA" w:rsidRPr="002B05D1" w:rsidRDefault="00263F8E" w:rsidP="002B05D1">
      <w:pPr>
        <w:pStyle w:val="ListParagraph"/>
        <w:numPr>
          <w:ilvl w:val="1"/>
          <w:numId w:val="3"/>
        </w:numPr>
        <w:spacing w:line="300" w:lineRule="exact"/>
        <w:ind w:right="266"/>
        <w:rPr>
          <w:rFonts w:ascii="Arial" w:hAnsi="Arial" w:cs="Arial"/>
          <w:sz w:val="20"/>
        </w:rPr>
      </w:pPr>
      <w:r w:rsidRPr="00B906BA">
        <w:rPr>
          <w:rFonts w:ascii="Arial" w:hAnsi="Arial" w:cs="Arial"/>
          <w:sz w:val="20"/>
        </w:rPr>
        <w:t xml:space="preserve">Thirdly, </w:t>
      </w:r>
      <w:r w:rsidR="00B906BA" w:rsidRPr="00B906BA">
        <w:rPr>
          <w:rFonts w:ascii="Arial" w:hAnsi="Arial" w:cs="Arial"/>
          <w:sz w:val="20"/>
        </w:rPr>
        <w:t xml:space="preserve">enforceable transparency requirements for collecting societies can be improved. There is a lack of clear and detailed disclosure on </w:t>
      </w:r>
      <w:r w:rsidR="000A6C75">
        <w:rPr>
          <w:rFonts w:ascii="Arial" w:hAnsi="Arial" w:cs="Arial"/>
          <w:sz w:val="20"/>
        </w:rPr>
        <w:t xml:space="preserve">how </w:t>
      </w:r>
      <w:r w:rsidR="00B906BA" w:rsidRPr="00B906BA">
        <w:rPr>
          <w:rFonts w:ascii="Arial" w:hAnsi="Arial" w:cs="Arial"/>
          <w:sz w:val="20"/>
        </w:rPr>
        <w:t>the distribution of funds to right holders</w:t>
      </w:r>
      <w:r w:rsidR="000A6C75">
        <w:rPr>
          <w:rFonts w:ascii="Arial" w:hAnsi="Arial" w:cs="Arial"/>
          <w:sz w:val="20"/>
        </w:rPr>
        <w:t xml:space="preserve"> correlates to the royalty payments received</w:t>
      </w:r>
      <w:r w:rsidR="00B906BA" w:rsidRPr="00B906BA">
        <w:rPr>
          <w:rFonts w:ascii="Arial" w:hAnsi="Arial" w:cs="Arial"/>
          <w:sz w:val="20"/>
        </w:rPr>
        <w:t xml:space="preserve">. </w:t>
      </w:r>
      <w:r w:rsidR="005C1115">
        <w:rPr>
          <w:rFonts w:ascii="Arial" w:hAnsi="Arial" w:cs="Arial"/>
          <w:sz w:val="20"/>
        </w:rPr>
        <w:t>As such, t</w:t>
      </w:r>
      <w:r w:rsidR="000A6C75">
        <w:rPr>
          <w:rFonts w:ascii="Arial" w:hAnsi="Arial" w:cs="Arial"/>
          <w:sz w:val="20"/>
        </w:rPr>
        <w:t xml:space="preserve">here is currently </w:t>
      </w:r>
      <w:r w:rsidR="00187BEB">
        <w:rPr>
          <w:rFonts w:ascii="Arial" w:hAnsi="Arial" w:cs="Arial"/>
          <w:sz w:val="20"/>
        </w:rPr>
        <w:t>in</w:t>
      </w:r>
      <w:r w:rsidR="005C1115">
        <w:rPr>
          <w:rFonts w:ascii="Arial" w:hAnsi="Arial" w:cs="Arial"/>
          <w:sz w:val="20"/>
        </w:rPr>
        <w:t xml:space="preserve">sufficient </w:t>
      </w:r>
      <w:r w:rsidR="00B906BA" w:rsidRPr="00B906BA">
        <w:rPr>
          <w:rFonts w:ascii="Arial" w:hAnsi="Arial" w:cs="Arial"/>
          <w:sz w:val="20"/>
        </w:rPr>
        <w:t>information</w:t>
      </w:r>
      <w:r w:rsidR="000A6C75">
        <w:rPr>
          <w:rFonts w:ascii="Arial" w:hAnsi="Arial" w:cs="Arial"/>
          <w:sz w:val="20"/>
        </w:rPr>
        <w:t xml:space="preserve"> </w:t>
      </w:r>
      <w:r w:rsidR="00B906BA" w:rsidRPr="00B906BA">
        <w:rPr>
          <w:rFonts w:ascii="Arial" w:hAnsi="Arial" w:cs="Arial"/>
          <w:sz w:val="20"/>
        </w:rPr>
        <w:t>available to discern how royalty</w:t>
      </w:r>
      <w:r w:rsidR="005C1115">
        <w:rPr>
          <w:rFonts w:ascii="Arial" w:hAnsi="Arial" w:cs="Arial"/>
          <w:sz w:val="20"/>
        </w:rPr>
        <w:t xml:space="preserve"> revenue</w:t>
      </w:r>
      <w:r w:rsidR="00B906BA" w:rsidRPr="00B906BA">
        <w:rPr>
          <w:rFonts w:ascii="Arial" w:hAnsi="Arial" w:cs="Arial"/>
          <w:sz w:val="20"/>
        </w:rPr>
        <w:t xml:space="preserve"> </w:t>
      </w:r>
      <w:r w:rsidR="005C1115">
        <w:rPr>
          <w:rFonts w:ascii="Arial" w:hAnsi="Arial" w:cs="Arial"/>
          <w:sz w:val="20"/>
        </w:rPr>
        <w:t>collected is</w:t>
      </w:r>
      <w:r w:rsidR="00D42C42" w:rsidRPr="00B906BA">
        <w:rPr>
          <w:rFonts w:ascii="Arial" w:hAnsi="Arial" w:cs="Arial"/>
          <w:sz w:val="20"/>
        </w:rPr>
        <w:t xml:space="preserve"> </w:t>
      </w:r>
      <w:r w:rsidR="00B906BA">
        <w:rPr>
          <w:rFonts w:ascii="Arial" w:hAnsi="Arial" w:cs="Arial"/>
          <w:sz w:val="20"/>
        </w:rPr>
        <w:t xml:space="preserve">then </w:t>
      </w:r>
      <w:r w:rsidR="00D42C42" w:rsidRPr="00B906BA">
        <w:rPr>
          <w:rFonts w:ascii="Arial" w:hAnsi="Arial" w:cs="Arial"/>
          <w:sz w:val="20"/>
        </w:rPr>
        <w:t xml:space="preserve">distributed </w:t>
      </w:r>
      <w:r w:rsidR="00B906BA">
        <w:rPr>
          <w:rFonts w:ascii="Arial" w:hAnsi="Arial" w:cs="Arial"/>
          <w:sz w:val="20"/>
        </w:rPr>
        <w:t xml:space="preserve">to the rights holders that own </w:t>
      </w:r>
      <w:r w:rsidR="00D42C42" w:rsidRPr="00B906BA">
        <w:rPr>
          <w:rFonts w:ascii="Arial" w:hAnsi="Arial" w:cs="Arial"/>
          <w:sz w:val="20"/>
        </w:rPr>
        <w:t xml:space="preserve">the </w:t>
      </w:r>
      <w:r w:rsidR="00772416" w:rsidRPr="00B906BA">
        <w:rPr>
          <w:rFonts w:ascii="Arial" w:hAnsi="Arial" w:cs="Arial"/>
          <w:sz w:val="20"/>
        </w:rPr>
        <w:t>content used</w:t>
      </w:r>
      <w:r w:rsidR="000C6AA2" w:rsidRPr="00B906BA">
        <w:rPr>
          <w:rFonts w:ascii="Arial" w:hAnsi="Arial" w:cs="Arial"/>
          <w:sz w:val="20"/>
        </w:rPr>
        <w:t>.</w:t>
      </w:r>
      <w:r w:rsidR="000C6BFD">
        <w:rPr>
          <w:rFonts w:ascii="Arial" w:hAnsi="Arial" w:cs="Arial"/>
          <w:sz w:val="20"/>
        </w:rPr>
        <w:t xml:space="preserve"> L</w:t>
      </w:r>
      <w:r w:rsidR="008E6CE5" w:rsidRPr="002B05D1">
        <w:rPr>
          <w:rFonts w:ascii="Arial" w:hAnsi="Arial" w:cs="Arial"/>
          <w:sz w:val="20"/>
        </w:rPr>
        <w:t>icensees</w:t>
      </w:r>
      <w:r w:rsidR="00DE2CA9" w:rsidRPr="002B05D1">
        <w:rPr>
          <w:rFonts w:ascii="Arial" w:hAnsi="Arial" w:cs="Arial"/>
          <w:sz w:val="20"/>
        </w:rPr>
        <w:t xml:space="preserve"> </w:t>
      </w:r>
      <w:r w:rsidR="000C6BFD">
        <w:rPr>
          <w:rFonts w:ascii="Arial" w:hAnsi="Arial" w:cs="Arial"/>
          <w:sz w:val="20"/>
        </w:rPr>
        <w:t xml:space="preserve">should be able to confirm that </w:t>
      </w:r>
      <w:r w:rsidR="005C1115">
        <w:rPr>
          <w:rFonts w:ascii="Arial" w:hAnsi="Arial" w:cs="Arial"/>
          <w:sz w:val="20"/>
        </w:rPr>
        <w:t>fees paid</w:t>
      </w:r>
      <w:r w:rsidR="00DE2CA9" w:rsidRPr="002B05D1">
        <w:rPr>
          <w:rFonts w:ascii="Arial" w:hAnsi="Arial" w:cs="Arial"/>
          <w:sz w:val="20"/>
        </w:rPr>
        <w:t xml:space="preserve"> </w:t>
      </w:r>
      <w:r w:rsidR="000C6BFD">
        <w:rPr>
          <w:rFonts w:ascii="Arial" w:hAnsi="Arial" w:cs="Arial"/>
          <w:sz w:val="20"/>
        </w:rPr>
        <w:t xml:space="preserve">for the use of particular content </w:t>
      </w:r>
      <w:r w:rsidR="00DE2CA9" w:rsidRPr="002B05D1">
        <w:rPr>
          <w:rFonts w:ascii="Arial" w:hAnsi="Arial" w:cs="Arial"/>
          <w:sz w:val="20"/>
        </w:rPr>
        <w:t xml:space="preserve">is </w:t>
      </w:r>
      <w:r w:rsidR="000C6BFD">
        <w:rPr>
          <w:rFonts w:ascii="Arial" w:hAnsi="Arial" w:cs="Arial"/>
          <w:sz w:val="20"/>
        </w:rPr>
        <w:t>fairly</w:t>
      </w:r>
      <w:r w:rsidR="00DE2CA9" w:rsidRPr="002B05D1">
        <w:rPr>
          <w:rFonts w:ascii="Arial" w:hAnsi="Arial" w:cs="Arial"/>
          <w:sz w:val="20"/>
        </w:rPr>
        <w:t xml:space="preserve"> distributed to</w:t>
      </w:r>
      <w:r w:rsidR="000C6BFD">
        <w:rPr>
          <w:rFonts w:ascii="Arial" w:hAnsi="Arial" w:cs="Arial"/>
          <w:sz w:val="20"/>
        </w:rPr>
        <w:t xml:space="preserve"> the owner of that</w:t>
      </w:r>
      <w:r w:rsidR="00DE2CA9" w:rsidRPr="002B05D1">
        <w:rPr>
          <w:rFonts w:ascii="Arial" w:hAnsi="Arial" w:cs="Arial"/>
          <w:sz w:val="20"/>
        </w:rPr>
        <w:t xml:space="preserve"> content.</w:t>
      </w:r>
    </w:p>
    <w:p w:rsidR="000B1C5C" w:rsidRPr="000B1C5C" w:rsidRDefault="000B1C5C" w:rsidP="000B1C5C">
      <w:pPr>
        <w:pStyle w:val="ListParagraph"/>
        <w:rPr>
          <w:rFonts w:ascii="Arial" w:hAnsi="Arial" w:cs="Arial"/>
          <w:sz w:val="20"/>
        </w:rPr>
      </w:pPr>
    </w:p>
    <w:p w:rsidR="000B1C5C" w:rsidRPr="000B1C5C" w:rsidRDefault="000B1C5C" w:rsidP="000B1C5C">
      <w:pPr>
        <w:spacing w:line="300" w:lineRule="exact"/>
        <w:ind w:left="-284" w:right="266"/>
        <w:rPr>
          <w:rFonts w:ascii="Arial" w:hAnsi="Arial" w:cs="Arial"/>
          <w:sz w:val="20"/>
        </w:rPr>
      </w:pPr>
      <w:r>
        <w:rPr>
          <w:rFonts w:ascii="Arial" w:hAnsi="Arial" w:cs="Arial"/>
          <w:b/>
          <w:color w:val="CC1543"/>
          <w:sz w:val="20"/>
        </w:rPr>
        <w:t>Recommendation</w:t>
      </w:r>
    </w:p>
    <w:p w:rsidR="00372E00" w:rsidRPr="00372E00" w:rsidRDefault="00372E00" w:rsidP="004766D9">
      <w:pPr>
        <w:pStyle w:val="ListParagraph"/>
        <w:rPr>
          <w:rFonts w:ascii="Arial" w:hAnsi="Arial" w:cs="Arial"/>
          <w:sz w:val="20"/>
        </w:rPr>
      </w:pPr>
    </w:p>
    <w:p w:rsidR="00E13FDA" w:rsidRPr="00BE3BAC" w:rsidRDefault="00372E00" w:rsidP="00020FF9">
      <w:pPr>
        <w:pStyle w:val="ListParagraph"/>
        <w:numPr>
          <w:ilvl w:val="0"/>
          <w:numId w:val="3"/>
        </w:numPr>
        <w:spacing w:line="300" w:lineRule="exact"/>
        <w:ind w:right="266"/>
        <w:rPr>
          <w:rFonts w:ascii="Arial" w:hAnsi="Arial" w:cs="Arial"/>
          <w:sz w:val="20"/>
        </w:rPr>
      </w:pPr>
      <w:r w:rsidRPr="00BE3BAC">
        <w:rPr>
          <w:rFonts w:ascii="Arial" w:hAnsi="Arial" w:cs="Arial"/>
          <w:sz w:val="20"/>
        </w:rPr>
        <w:t xml:space="preserve">LPA supports any measures </w:t>
      </w:r>
      <w:r w:rsidR="00D17580">
        <w:rPr>
          <w:rFonts w:ascii="Arial" w:hAnsi="Arial" w:cs="Arial"/>
          <w:sz w:val="20"/>
        </w:rPr>
        <w:t xml:space="preserve">intended to secure </w:t>
      </w:r>
      <w:r w:rsidR="00E13FDA" w:rsidRPr="00BE3BAC">
        <w:rPr>
          <w:rFonts w:ascii="Arial" w:hAnsi="Arial" w:cs="Arial"/>
          <w:sz w:val="20"/>
        </w:rPr>
        <w:t xml:space="preserve">a fair and transparent collective licensing </w:t>
      </w:r>
      <w:r w:rsidRPr="00BE3BAC">
        <w:rPr>
          <w:rFonts w:ascii="Arial" w:hAnsi="Arial" w:cs="Arial"/>
          <w:sz w:val="20"/>
        </w:rPr>
        <w:t>s</w:t>
      </w:r>
      <w:r w:rsidR="00E13FDA" w:rsidRPr="00BE3BAC">
        <w:rPr>
          <w:rFonts w:ascii="Arial" w:hAnsi="Arial" w:cs="Arial"/>
          <w:sz w:val="20"/>
        </w:rPr>
        <w:t>ystem</w:t>
      </w:r>
      <w:r w:rsidR="00D17580">
        <w:rPr>
          <w:rFonts w:ascii="Arial" w:hAnsi="Arial" w:cs="Arial"/>
          <w:sz w:val="20"/>
        </w:rPr>
        <w:t xml:space="preserve">. We submit </w:t>
      </w:r>
      <w:r w:rsidR="006D4F5B">
        <w:rPr>
          <w:rFonts w:ascii="Arial" w:hAnsi="Arial" w:cs="Arial"/>
          <w:sz w:val="20"/>
        </w:rPr>
        <w:t xml:space="preserve">that </w:t>
      </w:r>
      <w:r w:rsidR="00D17580">
        <w:rPr>
          <w:rFonts w:ascii="Arial" w:hAnsi="Arial" w:cs="Arial"/>
          <w:sz w:val="20"/>
        </w:rPr>
        <w:t>improved</w:t>
      </w:r>
      <w:r w:rsidR="006D4F5B">
        <w:rPr>
          <w:rFonts w:ascii="Arial" w:hAnsi="Arial" w:cs="Arial"/>
          <w:sz w:val="20"/>
        </w:rPr>
        <w:t xml:space="preserve"> governance and oversight requirements can </w:t>
      </w:r>
      <w:r w:rsidR="00D17580">
        <w:rPr>
          <w:rFonts w:ascii="Arial" w:hAnsi="Arial" w:cs="Arial"/>
          <w:sz w:val="20"/>
        </w:rPr>
        <w:t>increase</w:t>
      </w:r>
      <w:r w:rsidR="006D4F5B" w:rsidRPr="006D4F5B">
        <w:rPr>
          <w:rFonts w:ascii="Arial" w:hAnsi="Arial" w:cs="Arial"/>
          <w:sz w:val="20"/>
        </w:rPr>
        <w:t xml:space="preserve"> </w:t>
      </w:r>
      <w:r w:rsidR="006D4F5B">
        <w:rPr>
          <w:rFonts w:ascii="Arial" w:hAnsi="Arial" w:cs="Arial"/>
          <w:sz w:val="20"/>
        </w:rPr>
        <w:t>the</w:t>
      </w:r>
      <w:r w:rsidR="00D17580">
        <w:rPr>
          <w:rFonts w:ascii="Arial" w:hAnsi="Arial" w:cs="Arial"/>
          <w:sz w:val="20"/>
        </w:rPr>
        <w:t xml:space="preserve"> efficiency, </w:t>
      </w:r>
      <w:r w:rsidR="006D4F5B" w:rsidRPr="006D4F5B">
        <w:rPr>
          <w:rFonts w:ascii="Arial" w:hAnsi="Arial" w:cs="Arial"/>
          <w:sz w:val="20"/>
        </w:rPr>
        <w:t>fairness and transparency</w:t>
      </w:r>
      <w:r w:rsidR="006D4F5B">
        <w:rPr>
          <w:rFonts w:ascii="Arial" w:hAnsi="Arial" w:cs="Arial"/>
          <w:sz w:val="20"/>
        </w:rPr>
        <w:t xml:space="preserve"> of collective licensing for both </w:t>
      </w:r>
      <w:r w:rsidR="004D4EF8">
        <w:rPr>
          <w:rFonts w:ascii="Arial" w:hAnsi="Arial" w:cs="Arial"/>
          <w:sz w:val="20"/>
        </w:rPr>
        <w:t xml:space="preserve">content </w:t>
      </w:r>
      <w:r w:rsidR="006D4F5B">
        <w:rPr>
          <w:rFonts w:ascii="Arial" w:hAnsi="Arial" w:cs="Arial"/>
          <w:sz w:val="20"/>
        </w:rPr>
        <w:t>users and right</w:t>
      </w:r>
      <w:r w:rsidR="004D4EF8">
        <w:rPr>
          <w:rFonts w:ascii="Arial" w:hAnsi="Arial" w:cs="Arial"/>
          <w:sz w:val="20"/>
        </w:rPr>
        <w:t>s</w:t>
      </w:r>
      <w:r w:rsidR="006D4F5B">
        <w:rPr>
          <w:rFonts w:ascii="Arial" w:hAnsi="Arial" w:cs="Arial"/>
          <w:sz w:val="20"/>
        </w:rPr>
        <w:t xml:space="preserve"> holders</w:t>
      </w:r>
      <w:r w:rsidR="006D4F5B" w:rsidRPr="006D4F5B">
        <w:rPr>
          <w:rFonts w:ascii="Arial" w:hAnsi="Arial" w:cs="Arial"/>
          <w:sz w:val="20"/>
        </w:rPr>
        <w:t>.</w:t>
      </w:r>
      <w:r w:rsidR="006D4F5B">
        <w:rPr>
          <w:rFonts w:ascii="Arial" w:hAnsi="Arial" w:cs="Arial"/>
          <w:sz w:val="20"/>
        </w:rPr>
        <w:t xml:space="preserve"> </w:t>
      </w:r>
      <w:r w:rsidR="00610040">
        <w:rPr>
          <w:rFonts w:ascii="Arial" w:hAnsi="Arial" w:cs="Arial"/>
          <w:sz w:val="20"/>
        </w:rPr>
        <w:t>As</w:t>
      </w:r>
      <w:r w:rsidR="00D17580">
        <w:rPr>
          <w:rFonts w:ascii="Arial" w:hAnsi="Arial" w:cs="Arial"/>
          <w:sz w:val="20"/>
        </w:rPr>
        <w:t xml:space="preserve"> recently recommended by the </w:t>
      </w:r>
      <w:r w:rsidR="00BE3BAC" w:rsidRPr="00BE3BAC">
        <w:rPr>
          <w:rFonts w:ascii="Arial" w:hAnsi="Arial" w:cs="Arial"/>
          <w:sz w:val="20"/>
        </w:rPr>
        <w:t xml:space="preserve">Productivity Commission, we believe it is timely and </w:t>
      </w:r>
      <w:r w:rsidR="00D17580">
        <w:rPr>
          <w:rFonts w:ascii="Arial" w:hAnsi="Arial" w:cs="Arial"/>
          <w:sz w:val="20"/>
        </w:rPr>
        <w:t xml:space="preserve">appropriate </w:t>
      </w:r>
      <w:r w:rsidR="00A67068">
        <w:rPr>
          <w:rFonts w:ascii="Arial" w:hAnsi="Arial" w:cs="Arial"/>
          <w:sz w:val="20"/>
        </w:rPr>
        <w:t>for a review of the</w:t>
      </w:r>
      <w:r w:rsidR="00BE3BAC" w:rsidRPr="00BE3BAC">
        <w:rPr>
          <w:rFonts w:ascii="Arial" w:hAnsi="Arial" w:cs="Arial"/>
          <w:sz w:val="20"/>
        </w:rPr>
        <w:t xml:space="preserve"> governance and transparency arrangements</w:t>
      </w:r>
      <w:r w:rsidR="00A67068">
        <w:rPr>
          <w:rFonts w:ascii="Arial" w:hAnsi="Arial" w:cs="Arial"/>
          <w:sz w:val="20"/>
        </w:rPr>
        <w:t xml:space="preserve"> of collecting societies</w:t>
      </w:r>
      <w:r w:rsidR="00F4256E">
        <w:rPr>
          <w:rFonts w:ascii="Arial" w:hAnsi="Arial" w:cs="Arial"/>
          <w:sz w:val="20"/>
        </w:rPr>
        <w:t xml:space="preserve"> by the ACCC</w:t>
      </w:r>
      <w:r w:rsidR="00BE3BAC" w:rsidRPr="00BE3BAC">
        <w:rPr>
          <w:rFonts w:ascii="Arial" w:hAnsi="Arial" w:cs="Arial"/>
          <w:sz w:val="20"/>
        </w:rPr>
        <w:t xml:space="preserve">. </w:t>
      </w:r>
      <w:r w:rsidRPr="00BE3BAC">
        <w:rPr>
          <w:rFonts w:ascii="Arial" w:hAnsi="Arial" w:cs="Arial"/>
          <w:sz w:val="20"/>
        </w:rPr>
        <w:t>LPA support</w:t>
      </w:r>
      <w:r w:rsidR="00E13FDA" w:rsidRPr="00BE3BAC">
        <w:rPr>
          <w:rFonts w:ascii="Arial" w:hAnsi="Arial" w:cs="Arial"/>
          <w:sz w:val="20"/>
        </w:rPr>
        <w:t>s in principle</w:t>
      </w:r>
      <w:r w:rsidRPr="00BE3BAC">
        <w:rPr>
          <w:rFonts w:ascii="Arial" w:hAnsi="Arial" w:cs="Arial"/>
          <w:sz w:val="20"/>
        </w:rPr>
        <w:t xml:space="preserve"> </w:t>
      </w:r>
      <w:r w:rsidR="00A67068">
        <w:rPr>
          <w:rFonts w:ascii="Arial" w:hAnsi="Arial" w:cs="Arial"/>
          <w:sz w:val="20"/>
        </w:rPr>
        <w:t xml:space="preserve">Recommendation </w:t>
      </w:r>
      <w:r w:rsidR="008F3491">
        <w:rPr>
          <w:rFonts w:ascii="Arial" w:hAnsi="Arial" w:cs="Arial"/>
          <w:sz w:val="20"/>
        </w:rPr>
        <w:t>5.4</w:t>
      </w:r>
      <w:r w:rsidRPr="00BE3BAC">
        <w:rPr>
          <w:rFonts w:ascii="Arial" w:hAnsi="Arial" w:cs="Arial"/>
          <w:sz w:val="20"/>
        </w:rPr>
        <w:t xml:space="preserve"> of the Productivity Commission</w:t>
      </w:r>
      <w:r w:rsidR="002A7206">
        <w:rPr>
          <w:rFonts w:ascii="Arial" w:hAnsi="Arial" w:cs="Arial"/>
          <w:sz w:val="20"/>
        </w:rPr>
        <w:t>’s</w:t>
      </w:r>
      <w:r w:rsidR="00020FF9">
        <w:rPr>
          <w:rFonts w:ascii="Arial" w:hAnsi="Arial" w:cs="Arial"/>
          <w:sz w:val="20"/>
        </w:rPr>
        <w:t xml:space="preserve"> report on intellectual property arrangements </w:t>
      </w:r>
      <w:r w:rsidRPr="00BE3BAC">
        <w:rPr>
          <w:rFonts w:ascii="Arial" w:hAnsi="Arial" w:cs="Arial"/>
          <w:sz w:val="20"/>
        </w:rPr>
        <w:t>as follows:</w:t>
      </w:r>
    </w:p>
    <w:p w:rsidR="00E13FDA" w:rsidRPr="00E13FDA" w:rsidRDefault="00E13FDA" w:rsidP="004766D9">
      <w:pPr>
        <w:pStyle w:val="ListParagraph"/>
        <w:spacing w:line="300" w:lineRule="exact"/>
        <w:ind w:left="360" w:right="266"/>
        <w:rPr>
          <w:rFonts w:ascii="Arial" w:hAnsi="Arial" w:cs="Arial"/>
          <w:i/>
          <w:sz w:val="20"/>
        </w:rPr>
      </w:pPr>
      <w:r w:rsidRPr="00E13FDA">
        <w:rPr>
          <w:rFonts w:ascii="Arial" w:hAnsi="Arial" w:cs="Arial"/>
          <w:i/>
          <w:sz w:val="20"/>
        </w:rPr>
        <w:lastRenderedPageBreak/>
        <w:t>The Australian Government should strengthen the governance an</w:t>
      </w:r>
      <w:bookmarkStart w:id="0" w:name="_GoBack"/>
      <w:bookmarkEnd w:id="0"/>
      <w:r w:rsidRPr="00E13FDA">
        <w:rPr>
          <w:rFonts w:ascii="Arial" w:hAnsi="Arial" w:cs="Arial"/>
          <w:i/>
          <w:sz w:val="20"/>
        </w:rPr>
        <w:t>d transparency arrangements for collecting societies. In particular:</w:t>
      </w:r>
    </w:p>
    <w:p w:rsidR="00E13FDA" w:rsidRPr="00E13FDA" w:rsidRDefault="00E13FDA" w:rsidP="004766D9">
      <w:pPr>
        <w:pStyle w:val="ListParagraph"/>
        <w:numPr>
          <w:ilvl w:val="0"/>
          <w:numId w:val="4"/>
        </w:numPr>
        <w:spacing w:line="300" w:lineRule="exact"/>
        <w:ind w:right="266"/>
        <w:rPr>
          <w:rFonts w:ascii="Arial" w:hAnsi="Arial" w:cs="Arial"/>
          <w:i/>
          <w:sz w:val="20"/>
        </w:rPr>
      </w:pPr>
      <w:r w:rsidRPr="00E13FDA">
        <w:rPr>
          <w:rFonts w:ascii="Arial" w:hAnsi="Arial" w:cs="Arial"/>
          <w:i/>
          <w:sz w:val="20"/>
        </w:rPr>
        <w:t xml:space="preserve">The Australian Competition and Consumer Commission should undertake a review of the current code, assessing its efficacy in balancing the interests of copyright collecting societies and licensees. </w:t>
      </w:r>
    </w:p>
    <w:p w:rsidR="00372E00" w:rsidRPr="00E13FDA" w:rsidRDefault="00E13FDA" w:rsidP="004766D9">
      <w:pPr>
        <w:pStyle w:val="ListParagraph"/>
        <w:numPr>
          <w:ilvl w:val="0"/>
          <w:numId w:val="4"/>
        </w:numPr>
        <w:spacing w:line="300" w:lineRule="exact"/>
        <w:ind w:right="266"/>
        <w:rPr>
          <w:rFonts w:ascii="Arial" w:hAnsi="Arial" w:cs="Arial"/>
          <w:i/>
          <w:sz w:val="20"/>
        </w:rPr>
      </w:pPr>
      <w:r w:rsidRPr="00E13FDA">
        <w:rPr>
          <w:rFonts w:ascii="Arial" w:hAnsi="Arial" w:cs="Arial"/>
          <w:i/>
          <w:sz w:val="20"/>
        </w:rPr>
        <w:t>The review should consider whether the current voluntary code: represents best practice, contains sufficient monitoring and review mechanisms, and if the code should be mandatory for all collecting societies.</w:t>
      </w:r>
      <w:r>
        <w:rPr>
          <w:rStyle w:val="FootnoteReference"/>
          <w:rFonts w:ascii="Arial" w:hAnsi="Arial" w:cs="Arial"/>
          <w:i/>
          <w:sz w:val="20"/>
        </w:rPr>
        <w:footnoteReference w:id="3"/>
      </w:r>
    </w:p>
    <w:p w:rsidR="00E13FDA" w:rsidRDefault="00E13FDA" w:rsidP="004B03DA">
      <w:pPr>
        <w:spacing w:line="300" w:lineRule="exact"/>
        <w:ind w:left="-284" w:right="266"/>
        <w:rPr>
          <w:rFonts w:ascii="Arial" w:hAnsi="Arial" w:cs="Arial"/>
          <w:sz w:val="20"/>
        </w:rPr>
      </w:pPr>
    </w:p>
    <w:p w:rsidR="00020FF9" w:rsidRDefault="00020FF9" w:rsidP="004B03DA">
      <w:pPr>
        <w:spacing w:line="300" w:lineRule="exact"/>
        <w:ind w:left="-284" w:right="266"/>
        <w:rPr>
          <w:rFonts w:ascii="Arial" w:hAnsi="Arial" w:cs="Arial"/>
          <w:sz w:val="20"/>
        </w:rPr>
      </w:pPr>
    </w:p>
    <w:p w:rsidR="00E13FDA" w:rsidRPr="004B03DA" w:rsidRDefault="00493BC9" w:rsidP="004B03DA">
      <w:pPr>
        <w:spacing w:line="300" w:lineRule="exact"/>
        <w:ind w:left="-284" w:right="266"/>
        <w:rPr>
          <w:rFonts w:ascii="Arial" w:hAnsi="Arial" w:cs="Arial"/>
          <w:sz w:val="20"/>
        </w:rPr>
      </w:pPr>
      <w:r>
        <w:rPr>
          <w:rFonts w:ascii="Arial" w:hAnsi="Arial" w:cs="Arial"/>
          <w:sz w:val="20"/>
        </w:rPr>
        <w:t>We thank you for inviting LPA</w:t>
      </w:r>
      <w:r w:rsidRPr="00493BC9">
        <w:rPr>
          <w:rFonts w:ascii="Arial" w:hAnsi="Arial" w:cs="Arial"/>
          <w:sz w:val="20"/>
        </w:rPr>
        <w:t xml:space="preserve"> to make a submission on this important issue for our industry.   </w:t>
      </w:r>
    </w:p>
    <w:p w:rsidR="00034152" w:rsidRPr="004B03DA" w:rsidRDefault="00034152" w:rsidP="004B03DA">
      <w:pPr>
        <w:spacing w:line="300" w:lineRule="exact"/>
        <w:ind w:left="-284" w:right="266"/>
        <w:rPr>
          <w:rFonts w:ascii="Arial" w:hAnsi="Arial" w:cs="Arial"/>
          <w:sz w:val="20"/>
        </w:rPr>
      </w:pPr>
    </w:p>
    <w:p w:rsidR="007032EC" w:rsidRPr="00322B51" w:rsidRDefault="004C27D1" w:rsidP="00BC5182">
      <w:pPr>
        <w:autoSpaceDE w:val="0"/>
        <w:autoSpaceDN w:val="0"/>
        <w:adjustRightInd w:val="0"/>
        <w:ind w:left="-284" w:right="266"/>
        <w:rPr>
          <w:rFonts w:ascii="Arial" w:eastAsia="Times New Roman" w:hAnsi="Arial" w:cs="Arial"/>
          <w:color w:val="000000"/>
          <w:sz w:val="20"/>
          <w:szCs w:val="22"/>
          <w:lang w:val="en-US"/>
        </w:rPr>
      </w:pPr>
      <w:r>
        <w:rPr>
          <w:rFonts w:ascii="Arial" w:eastAsia="Times New Roman" w:hAnsi="Arial" w:cs="Arial"/>
          <w:noProof/>
          <w:color w:val="231F20"/>
          <w:sz w:val="20"/>
          <w:lang w:eastAsia="en-AU"/>
        </w:rPr>
        <w:drawing>
          <wp:anchor distT="0" distB="0" distL="114300" distR="114300" simplePos="0" relativeHeight="251659264" behindDoc="0" locked="0" layoutInCell="1" allowOverlap="1" wp14:anchorId="64B1FD0B" wp14:editId="1B4570A1">
            <wp:simplePos x="0" y="0"/>
            <wp:positionH relativeFrom="column">
              <wp:posOffset>-198120</wp:posOffset>
            </wp:positionH>
            <wp:positionV relativeFrom="paragraph">
              <wp:posOffset>186690</wp:posOffset>
            </wp:positionV>
            <wp:extent cx="1547495" cy="600075"/>
            <wp:effectExtent l="57150" t="0" r="52705" b="1238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Evelyn'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7495" cy="600075"/>
                    </a:xfrm>
                    <a:prstGeom prst="rect">
                      <a:avLst/>
                    </a:prstGeom>
                    <a:solidFill>
                      <a:schemeClr val="bg1"/>
                    </a:solidFill>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r w:rsidR="007032EC" w:rsidRPr="00322B51">
        <w:rPr>
          <w:rFonts w:ascii="Arial" w:eastAsia="Times New Roman" w:hAnsi="Arial" w:cs="Arial"/>
          <w:sz w:val="20"/>
          <w:szCs w:val="22"/>
          <w:lang w:val="en-US"/>
        </w:rPr>
        <w:t>Yours sincerely,</w:t>
      </w:r>
    </w:p>
    <w:p w:rsidR="00BD586A" w:rsidRPr="00322B51" w:rsidRDefault="00BD586A" w:rsidP="00BC5182">
      <w:pPr>
        <w:pStyle w:val="Signature"/>
        <w:spacing w:before="0" w:line="240" w:lineRule="auto"/>
        <w:ind w:left="-284" w:right="266"/>
        <w:rPr>
          <w:rFonts w:cs="Arial"/>
          <w:b/>
          <w:szCs w:val="22"/>
        </w:rPr>
      </w:pPr>
      <w:r w:rsidRPr="00322B51">
        <w:rPr>
          <w:rFonts w:cs="Arial"/>
          <w:b/>
          <w:szCs w:val="22"/>
        </w:rPr>
        <w:t>Evelyn Richardson</w:t>
      </w:r>
    </w:p>
    <w:p w:rsidR="0015140B" w:rsidRDefault="00BD586A" w:rsidP="00BC5182">
      <w:pPr>
        <w:pStyle w:val="Signature"/>
        <w:spacing w:before="0" w:line="240" w:lineRule="auto"/>
        <w:ind w:left="-284" w:right="266"/>
        <w:rPr>
          <w:rFonts w:cs="Arial"/>
          <w:szCs w:val="22"/>
        </w:rPr>
      </w:pPr>
      <w:r w:rsidRPr="00322B51">
        <w:rPr>
          <w:rFonts w:cs="Arial"/>
          <w:szCs w:val="22"/>
        </w:rPr>
        <w:t>LPA Chief Executive</w:t>
      </w:r>
    </w:p>
    <w:p w:rsidR="0015140B" w:rsidRDefault="0015140B" w:rsidP="00BC5182">
      <w:pPr>
        <w:pStyle w:val="Signature"/>
        <w:spacing w:before="0" w:line="240" w:lineRule="auto"/>
        <w:ind w:left="-284" w:right="266"/>
        <w:rPr>
          <w:rFonts w:cs="Arial"/>
          <w:szCs w:val="22"/>
        </w:rPr>
      </w:pPr>
    </w:p>
    <w:p w:rsidR="0015140B" w:rsidRPr="0015140B" w:rsidRDefault="0015140B" w:rsidP="00BC5182">
      <w:pPr>
        <w:pStyle w:val="Signature"/>
        <w:spacing w:before="0" w:line="240" w:lineRule="auto"/>
        <w:ind w:left="-284" w:right="266"/>
        <w:rPr>
          <w:rFonts w:cs="Arial"/>
          <w:szCs w:val="22"/>
        </w:rPr>
      </w:pPr>
      <w:r w:rsidRPr="0015140B">
        <w:rPr>
          <w:rFonts w:cs="Arial"/>
          <w:b/>
          <w:szCs w:val="22"/>
        </w:rPr>
        <w:t xml:space="preserve">T </w:t>
      </w:r>
      <w:r w:rsidRPr="0015140B">
        <w:rPr>
          <w:rFonts w:cs="Arial"/>
          <w:szCs w:val="22"/>
        </w:rPr>
        <w:t xml:space="preserve"> 61 3 8614 2000</w:t>
      </w:r>
    </w:p>
    <w:p w:rsidR="00674694" w:rsidRDefault="0015140B" w:rsidP="00BC5182">
      <w:pPr>
        <w:pStyle w:val="Signature"/>
        <w:spacing w:before="0" w:line="240" w:lineRule="auto"/>
        <w:ind w:left="-284" w:right="266"/>
        <w:rPr>
          <w:rFonts w:cs="Arial"/>
          <w:sz w:val="14"/>
          <w:szCs w:val="16"/>
        </w:rPr>
      </w:pPr>
      <w:r w:rsidRPr="0015140B">
        <w:rPr>
          <w:rFonts w:cs="Arial"/>
          <w:b/>
          <w:szCs w:val="22"/>
        </w:rPr>
        <w:t xml:space="preserve">E  </w:t>
      </w:r>
      <w:r w:rsidRPr="0015140B">
        <w:rPr>
          <w:rFonts w:cs="Arial"/>
          <w:szCs w:val="22"/>
        </w:rPr>
        <w:t>erichardson@liveperformance.com.au</w:t>
      </w:r>
      <w:r w:rsidR="00907478">
        <w:rPr>
          <w:rFonts w:cs="Arial"/>
          <w:szCs w:val="22"/>
        </w:rPr>
        <w:br/>
      </w:r>
    </w:p>
    <w:p w:rsidR="00A80858" w:rsidRDefault="00A80858" w:rsidP="00BC5182">
      <w:pPr>
        <w:rPr>
          <w:lang w:val="en-US"/>
        </w:rPr>
      </w:pPr>
    </w:p>
    <w:p w:rsidR="00DD4357" w:rsidRPr="00213DD0" w:rsidRDefault="00DD4357" w:rsidP="00BC5182">
      <w:pPr>
        <w:ind w:left="-284"/>
        <w:rPr>
          <w:rFonts w:ascii="Arial" w:eastAsia="Times New Roman" w:hAnsi="Arial" w:cs="Arial"/>
          <w:b/>
          <w:color w:val="CC1543"/>
          <w:sz w:val="16"/>
          <w:lang w:val="en-US"/>
        </w:rPr>
      </w:pPr>
      <w:r w:rsidRPr="00213DD0">
        <w:rPr>
          <w:rFonts w:ascii="Arial" w:eastAsia="Times New Roman" w:hAnsi="Arial" w:cs="Arial"/>
          <w:b/>
          <w:color w:val="CC1543"/>
          <w:sz w:val="16"/>
          <w:lang w:val="en-US"/>
        </w:rPr>
        <w:t>ABOUT LPA</w:t>
      </w:r>
    </w:p>
    <w:p w:rsidR="000329C2" w:rsidRPr="00213DD0" w:rsidRDefault="00DD4357" w:rsidP="00BC5182">
      <w:pPr>
        <w:autoSpaceDE w:val="0"/>
        <w:autoSpaceDN w:val="0"/>
        <w:adjustRightInd w:val="0"/>
        <w:ind w:left="-284" w:right="266"/>
        <w:rPr>
          <w:rFonts w:ascii="Arial" w:eastAsia="Times New Roman" w:hAnsi="Arial" w:cs="Arial"/>
          <w:b/>
          <w:color w:val="CC1543"/>
          <w:sz w:val="20"/>
          <w:lang w:val="en-US"/>
        </w:rPr>
      </w:pPr>
      <w:r w:rsidRPr="00213DD0">
        <w:rPr>
          <w:rFonts w:ascii="Arial" w:eastAsia="Times New Roman" w:hAnsi="Arial" w:cs="Arial"/>
          <w:color w:val="231F20"/>
          <w:sz w:val="14"/>
          <w:lang w:val="en-US"/>
        </w:rPr>
        <w:t xml:space="preserve">LPA is the peak body for Australia’s live performance industry. Established in 1917 and registered as an employers’ organisation under the </w:t>
      </w:r>
      <w:r w:rsidRPr="00213DD0">
        <w:rPr>
          <w:rFonts w:ascii="Arial" w:eastAsia="Times New Roman" w:hAnsi="Arial" w:cs="Arial"/>
          <w:i/>
          <w:color w:val="231F20"/>
          <w:sz w:val="14"/>
          <w:lang w:val="en-US"/>
        </w:rPr>
        <w:t>Fair Work (Registered Organisations) Act 2009</w:t>
      </w:r>
      <w:r w:rsidRPr="00213DD0">
        <w:rPr>
          <w:rFonts w:ascii="Arial" w:eastAsia="Times New Roman" w:hAnsi="Arial" w:cs="Arial"/>
          <w:color w:val="231F20"/>
          <w:sz w:val="14"/>
          <w:lang w:val="en-US"/>
        </w:rPr>
        <w:t>, LPA has over 400 Members nationally. We represent commercial producers, music promoters, major performing arts companies, small to medium companies, independent producers, major performing arts centres, metropolitan and regional venues, commercial theatres, stadiums and arenas, arts festivals, music festivals, and service providers such as ticketing companies and technical suppliers. Our membership spans from small-medium and not-for-profit organisations to large commercial entities. LPA has a clear mandate to advocate for and support policy decisions that benefit the sustainability and growth of the live performance industry in Australia.</w:t>
      </w:r>
    </w:p>
    <w:sectPr w:rsidR="000329C2" w:rsidRPr="00213DD0" w:rsidSect="00263F8E">
      <w:headerReference w:type="default" r:id="rId10"/>
      <w:footerReference w:type="even" r:id="rId11"/>
      <w:footerReference w:type="default" r:id="rId12"/>
      <w:headerReference w:type="first" r:id="rId13"/>
      <w:footerReference w:type="first" r:id="rId14"/>
      <w:pgSz w:w="11899" w:h="16838"/>
      <w:pgMar w:top="2552" w:right="760" w:bottom="851" w:left="1797" w:header="709" w:footer="23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E7" w:rsidRDefault="000766E7">
      <w:r>
        <w:separator/>
      </w:r>
    </w:p>
  </w:endnote>
  <w:endnote w:type="continuationSeparator" w:id="0">
    <w:p w:rsidR="000766E7" w:rsidRDefault="0007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93C" w:rsidRDefault="0056793C" w:rsidP="002B30A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93C" w:rsidRPr="002B30A4" w:rsidRDefault="0056793C" w:rsidP="004D56B6">
    <w:pPr>
      <w:tabs>
        <w:tab w:val="left" w:pos="2232"/>
      </w:tabs>
      <w:autoSpaceDE w:val="0"/>
      <w:autoSpaceDN w:val="0"/>
      <w:adjustRightInd w:val="0"/>
      <w:spacing w:line="300" w:lineRule="exact"/>
      <w:ind w:right="-178"/>
      <w:jc w:val="center"/>
      <w:rPr>
        <w:rFonts w:ascii="Arial" w:eastAsia="Times New Roman" w:hAnsi="Arial" w:cs="Arial"/>
        <w:color w:val="231F20"/>
        <w:sz w:val="16"/>
        <w:szCs w:val="16"/>
      </w:rPr>
    </w:pPr>
    <w:r w:rsidRPr="00D3388A">
      <w:rPr>
        <w:rFonts w:ascii="Arial" w:hAnsi="Arial" w:cs="Arial"/>
        <w:sz w:val="16"/>
        <w:szCs w:val="16"/>
      </w:rPr>
      <w:t>Australian Entertainment Industry Association. Registered since 1917.</w:t>
    </w:r>
  </w:p>
  <w:p w:rsidR="0056793C" w:rsidRDefault="005679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93C" w:rsidRPr="00DD4357" w:rsidRDefault="0056793C" w:rsidP="00DD4357">
    <w:pPr>
      <w:autoSpaceDE w:val="0"/>
      <w:autoSpaceDN w:val="0"/>
      <w:adjustRightInd w:val="0"/>
      <w:spacing w:line="300" w:lineRule="exact"/>
      <w:ind w:right="266"/>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E7" w:rsidRDefault="000766E7">
      <w:r>
        <w:separator/>
      </w:r>
    </w:p>
  </w:footnote>
  <w:footnote w:type="continuationSeparator" w:id="0">
    <w:p w:rsidR="000766E7" w:rsidRDefault="000766E7">
      <w:r>
        <w:continuationSeparator/>
      </w:r>
    </w:p>
  </w:footnote>
  <w:footnote w:id="1">
    <w:p w:rsidR="00E370D8" w:rsidRPr="00263F8E" w:rsidRDefault="00E370D8">
      <w:pPr>
        <w:pStyle w:val="FootnoteText"/>
        <w:rPr>
          <w:rFonts w:ascii="Arial" w:hAnsi="Arial" w:cs="Arial"/>
          <w:sz w:val="14"/>
          <w:szCs w:val="14"/>
        </w:rPr>
      </w:pPr>
      <w:r w:rsidRPr="00263F8E">
        <w:rPr>
          <w:rStyle w:val="FootnoteReference"/>
          <w:rFonts w:ascii="Arial" w:hAnsi="Arial" w:cs="Arial"/>
          <w:sz w:val="14"/>
          <w:szCs w:val="14"/>
        </w:rPr>
        <w:footnoteRef/>
      </w:r>
      <w:r w:rsidRPr="00263F8E">
        <w:rPr>
          <w:rFonts w:ascii="Arial" w:hAnsi="Arial" w:cs="Arial"/>
          <w:sz w:val="14"/>
          <w:szCs w:val="14"/>
        </w:rPr>
        <w:t xml:space="preserve"> In 2015-16 public performance revenue contributed 21.25% ($70.7m) o</w:t>
      </w:r>
      <w:r w:rsidR="00785818">
        <w:rPr>
          <w:rFonts w:ascii="Arial" w:hAnsi="Arial" w:cs="Arial"/>
          <w:sz w:val="14"/>
          <w:szCs w:val="14"/>
        </w:rPr>
        <w:t>f APRA AMCOS total revenue. Source:</w:t>
      </w:r>
      <w:r w:rsidRPr="00263F8E">
        <w:rPr>
          <w:rFonts w:ascii="Arial" w:hAnsi="Arial" w:cs="Arial"/>
          <w:sz w:val="14"/>
          <w:szCs w:val="14"/>
        </w:rPr>
        <w:t xml:space="preserve"> APRA AMCOS Year in Review 2015-16 (digital report), accessed at: http://2016.yir.apraamcos.com.au/music-customers-revenue/</w:t>
      </w:r>
    </w:p>
  </w:footnote>
  <w:footnote w:id="2">
    <w:p w:rsidR="00263F8E" w:rsidRPr="00263F8E" w:rsidRDefault="00263F8E">
      <w:pPr>
        <w:pStyle w:val="FootnoteText"/>
        <w:rPr>
          <w:rFonts w:ascii="Arial" w:hAnsi="Arial" w:cs="Arial"/>
          <w:sz w:val="14"/>
          <w:szCs w:val="14"/>
        </w:rPr>
      </w:pPr>
      <w:r w:rsidRPr="00263F8E">
        <w:rPr>
          <w:rStyle w:val="FootnoteReference"/>
          <w:rFonts w:ascii="Arial" w:hAnsi="Arial" w:cs="Arial"/>
          <w:sz w:val="14"/>
          <w:szCs w:val="14"/>
        </w:rPr>
        <w:footnoteRef/>
      </w:r>
      <w:r w:rsidRPr="00263F8E">
        <w:rPr>
          <w:rFonts w:ascii="Arial" w:hAnsi="Arial" w:cs="Arial"/>
          <w:sz w:val="14"/>
          <w:szCs w:val="14"/>
        </w:rPr>
        <w:t xml:space="preserve"> Collective licensing and collecting societies’ (Section 5.4, Chapter 5), </w:t>
      </w:r>
      <w:r w:rsidRPr="008F3491">
        <w:rPr>
          <w:rFonts w:ascii="Arial" w:hAnsi="Arial" w:cs="Arial"/>
          <w:i/>
          <w:sz w:val="14"/>
          <w:szCs w:val="14"/>
        </w:rPr>
        <w:t>Intellectual Property Arrangements: Productivity Commission Inquiry Report (No.78), Productivity Commission</w:t>
      </w:r>
      <w:r w:rsidRPr="00263F8E">
        <w:rPr>
          <w:rFonts w:ascii="Arial" w:hAnsi="Arial" w:cs="Arial"/>
          <w:sz w:val="14"/>
          <w:szCs w:val="14"/>
        </w:rPr>
        <w:t>, 23 September 2016, released 20 December 2016, pp.153-161</w:t>
      </w:r>
    </w:p>
  </w:footnote>
  <w:footnote w:id="3">
    <w:p w:rsidR="00E13FDA" w:rsidRPr="00E13FDA" w:rsidRDefault="00E13FDA">
      <w:pPr>
        <w:pStyle w:val="FootnoteText"/>
        <w:rPr>
          <w:rFonts w:ascii="Arial" w:hAnsi="Arial" w:cs="Arial"/>
          <w:sz w:val="14"/>
          <w:szCs w:val="14"/>
        </w:rPr>
      </w:pPr>
      <w:r w:rsidRPr="00E13FDA">
        <w:rPr>
          <w:rStyle w:val="FootnoteReference"/>
          <w:rFonts w:ascii="Arial" w:hAnsi="Arial" w:cs="Arial"/>
          <w:sz w:val="14"/>
          <w:szCs w:val="14"/>
        </w:rPr>
        <w:footnoteRef/>
      </w:r>
      <w:r w:rsidRPr="00E13FDA">
        <w:rPr>
          <w:rFonts w:ascii="Arial" w:hAnsi="Arial" w:cs="Arial"/>
          <w:sz w:val="14"/>
          <w:szCs w:val="14"/>
        </w:rPr>
        <w:t>‘</w:t>
      </w:r>
      <w:r w:rsidR="008F3491">
        <w:rPr>
          <w:rFonts w:ascii="Arial" w:hAnsi="Arial" w:cs="Arial"/>
          <w:sz w:val="14"/>
          <w:szCs w:val="14"/>
        </w:rPr>
        <w:t>Ibid</w:t>
      </w:r>
      <w:r w:rsidR="00263F8E">
        <w:rPr>
          <w:rFonts w:ascii="Arial" w:hAnsi="Arial" w:cs="Arial"/>
          <w:sz w:val="14"/>
          <w:szCs w:val="14"/>
        </w:rPr>
        <w:t>, p.161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93C" w:rsidRPr="00B45FA5" w:rsidRDefault="0056793C" w:rsidP="002B30A4">
    <w:pPr>
      <w:pStyle w:val="Header"/>
      <w:jc w:val="center"/>
      <w:rPr>
        <w:rFonts w:ascii="Arial" w:hAnsi="Arial" w:cs="Arial"/>
        <w:sz w:val="20"/>
      </w:rPr>
    </w:pPr>
    <w:r w:rsidRPr="00B45FA5">
      <w:rPr>
        <w:rFonts w:ascii="Arial" w:hAnsi="Arial" w:cs="Arial"/>
        <w:sz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93C" w:rsidRDefault="0056793C" w:rsidP="00B73FC6">
    <w:pPr>
      <w:pStyle w:val="Header"/>
      <w:ind w:left="-567"/>
    </w:pPr>
    <w:r>
      <w:rPr>
        <w:rFonts w:ascii="Arial" w:hAnsi="Arial" w:cs="Arial"/>
        <w:noProof/>
        <w:sz w:val="20"/>
        <w:lang w:eastAsia="en-AU"/>
      </w:rPr>
      <mc:AlternateContent>
        <mc:Choice Requires="wps">
          <w:drawing>
            <wp:anchor distT="0" distB="0" distL="114300" distR="114300" simplePos="0" relativeHeight="251657216" behindDoc="0" locked="0" layoutInCell="1" allowOverlap="1" wp14:anchorId="5FD5134F" wp14:editId="0C529957">
              <wp:simplePos x="0" y="0"/>
              <wp:positionH relativeFrom="column">
                <wp:posOffset>4211955</wp:posOffset>
              </wp:positionH>
              <wp:positionV relativeFrom="paragraph">
                <wp:posOffset>-97790</wp:posOffset>
              </wp:positionV>
              <wp:extent cx="1714500" cy="1000125"/>
              <wp:effectExtent l="0" t="0" r="0" b="0"/>
              <wp:wrapTight wrapText="bothSides">
                <wp:wrapPolygon edited="0">
                  <wp:start x="480" y="1234"/>
                  <wp:lineTo x="480" y="20160"/>
                  <wp:lineTo x="20880" y="20160"/>
                  <wp:lineTo x="20880" y="1234"/>
                  <wp:lineTo x="480" y="1234"/>
                </wp:wrapPolygon>
              </wp:wrapTigh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56793C" w:rsidRPr="00D3388A" w:rsidRDefault="0056793C" w:rsidP="00B73FC6">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Level 1, 15</w:t>
                          </w:r>
                          <w:r>
                            <w:rPr>
                              <w:rFonts w:ascii="Arial" w:hAnsi="Arial" w:cs="Arial"/>
                              <w:sz w:val="16"/>
                              <w:szCs w:val="16"/>
                            </w:rPr>
                            <w:t>-17</w:t>
                          </w:r>
                          <w:r w:rsidRPr="00D3388A">
                            <w:rPr>
                              <w:rFonts w:ascii="Arial" w:hAnsi="Arial" w:cs="Arial"/>
                              <w:sz w:val="16"/>
                              <w:szCs w:val="16"/>
                            </w:rPr>
                            <w:t xml:space="preserve"> Queen Street</w:t>
                          </w:r>
                        </w:p>
                        <w:p w:rsidR="0056793C" w:rsidRPr="00D3388A" w:rsidRDefault="0056793C" w:rsidP="00B73FC6">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Melbourne Victoria 3000</w:t>
                          </w:r>
                        </w:p>
                        <w:p w:rsidR="0056793C" w:rsidRPr="00D3388A" w:rsidRDefault="0056793C" w:rsidP="00B73FC6">
                          <w:pPr>
                            <w:tabs>
                              <w:tab w:val="left" w:pos="2232"/>
                            </w:tabs>
                            <w:autoSpaceDE w:val="0"/>
                            <w:autoSpaceDN w:val="0"/>
                            <w:adjustRightInd w:val="0"/>
                            <w:spacing w:line="276" w:lineRule="auto"/>
                            <w:ind w:right="-178"/>
                            <w:rPr>
                              <w:rFonts w:ascii="Arial" w:hAnsi="Arial" w:cs="Arial"/>
                              <w:sz w:val="16"/>
                              <w:szCs w:val="16"/>
                            </w:rPr>
                          </w:pPr>
                          <w:r w:rsidRPr="009A7B10">
                            <w:rPr>
                              <w:rFonts w:ascii="Arial" w:hAnsi="Arial" w:cs="Arial"/>
                              <w:b/>
                              <w:sz w:val="16"/>
                              <w:szCs w:val="16"/>
                            </w:rPr>
                            <w:t>T</w:t>
                          </w:r>
                          <w:r w:rsidRPr="00D3388A">
                            <w:rPr>
                              <w:rFonts w:ascii="Arial" w:hAnsi="Arial" w:cs="Arial"/>
                              <w:sz w:val="16"/>
                              <w:szCs w:val="16"/>
                            </w:rPr>
                            <w:t xml:space="preserve">  61 3 8614 2000</w:t>
                          </w:r>
                        </w:p>
                        <w:p w:rsidR="0056793C" w:rsidRPr="00D3388A" w:rsidRDefault="0056793C" w:rsidP="00B73FC6">
                          <w:pPr>
                            <w:tabs>
                              <w:tab w:val="left" w:pos="2232"/>
                            </w:tabs>
                            <w:autoSpaceDE w:val="0"/>
                            <w:autoSpaceDN w:val="0"/>
                            <w:adjustRightInd w:val="0"/>
                            <w:spacing w:line="276" w:lineRule="auto"/>
                            <w:ind w:right="-178"/>
                            <w:rPr>
                              <w:rFonts w:ascii="Arial" w:hAnsi="Arial" w:cs="Arial"/>
                              <w:sz w:val="16"/>
                              <w:szCs w:val="16"/>
                            </w:rPr>
                          </w:pPr>
                          <w:r w:rsidRPr="009A7B10">
                            <w:rPr>
                              <w:rFonts w:ascii="Arial" w:hAnsi="Arial" w:cs="Arial"/>
                              <w:b/>
                              <w:sz w:val="16"/>
                              <w:szCs w:val="16"/>
                            </w:rPr>
                            <w:t>F</w:t>
                          </w:r>
                          <w:r>
                            <w:rPr>
                              <w:rFonts w:ascii="Arial" w:hAnsi="Arial" w:cs="Arial"/>
                              <w:b/>
                              <w:sz w:val="16"/>
                              <w:szCs w:val="16"/>
                            </w:rPr>
                            <w:t xml:space="preserve"> </w:t>
                          </w:r>
                          <w:r w:rsidRPr="00D3388A">
                            <w:rPr>
                              <w:rFonts w:ascii="Arial" w:hAnsi="Arial" w:cs="Arial"/>
                              <w:sz w:val="16"/>
                              <w:szCs w:val="16"/>
                            </w:rPr>
                            <w:t xml:space="preserve"> 61</w:t>
                          </w:r>
                          <w:r>
                            <w:rPr>
                              <w:rFonts w:ascii="Arial" w:hAnsi="Arial" w:cs="Arial"/>
                              <w:sz w:val="16"/>
                              <w:szCs w:val="16"/>
                            </w:rPr>
                            <w:t xml:space="preserve"> </w:t>
                          </w:r>
                          <w:r w:rsidRPr="00D3388A">
                            <w:rPr>
                              <w:rFonts w:ascii="Arial" w:hAnsi="Arial" w:cs="Arial"/>
                              <w:sz w:val="16"/>
                              <w:szCs w:val="16"/>
                            </w:rPr>
                            <w:t>3 9614 1166</w:t>
                          </w:r>
                        </w:p>
                        <w:p w:rsidR="0056793C" w:rsidRPr="00D3388A" w:rsidRDefault="0056793C" w:rsidP="00B73FC6">
                          <w:pPr>
                            <w:tabs>
                              <w:tab w:val="left" w:pos="2232"/>
                            </w:tabs>
                            <w:autoSpaceDE w:val="0"/>
                            <w:autoSpaceDN w:val="0"/>
                            <w:adjustRightInd w:val="0"/>
                            <w:spacing w:line="276" w:lineRule="auto"/>
                            <w:ind w:right="-178"/>
                            <w:rPr>
                              <w:rFonts w:ascii="Arial" w:hAnsi="Arial" w:cs="Arial"/>
                              <w:sz w:val="16"/>
                              <w:szCs w:val="16"/>
                            </w:rPr>
                          </w:pPr>
                          <w:r w:rsidRPr="009A7B10">
                            <w:rPr>
                              <w:rFonts w:ascii="Arial" w:hAnsi="Arial" w:cs="Arial"/>
                              <w:b/>
                              <w:sz w:val="16"/>
                              <w:szCs w:val="16"/>
                            </w:rPr>
                            <w:t>W</w:t>
                          </w:r>
                          <w:r w:rsidRPr="00D3388A">
                            <w:rPr>
                              <w:rFonts w:ascii="Arial" w:hAnsi="Arial" w:cs="Arial"/>
                              <w:sz w:val="16"/>
                              <w:szCs w:val="16"/>
                            </w:rPr>
                            <w:t xml:space="preserve"> </w:t>
                          </w:r>
                          <w:hyperlink r:id="rId1" w:history="1">
                            <w:r w:rsidRPr="00D3388A">
                              <w:rPr>
                                <w:rStyle w:val="Hyperlink"/>
                                <w:rFonts w:ascii="Arial" w:hAnsi="Arial" w:cs="Arial"/>
                                <w:sz w:val="16"/>
                                <w:szCs w:val="16"/>
                              </w:rPr>
                              <w:t>www.liveperformance.com.au</w:t>
                            </w:r>
                          </w:hyperlink>
                        </w:p>
                        <w:p w:rsidR="0056793C" w:rsidRPr="00D36735" w:rsidRDefault="0056793C" w:rsidP="00B73FC6">
                          <w:pPr>
                            <w:tabs>
                              <w:tab w:val="left" w:pos="2232"/>
                            </w:tabs>
                            <w:autoSpaceDE w:val="0"/>
                            <w:autoSpaceDN w:val="0"/>
                            <w:adjustRightInd w:val="0"/>
                            <w:spacing w:line="276" w:lineRule="auto"/>
                            <w:ind w:right="-178"/>
                            <w:rPr>
                              <w:rFonts w:ascii="Arial" w:eastAsia="Times New Roman" w:hAnsi="Arial" w:cs="Arial"/>
                              <w:color w:val="231F20"/>
                              <w:sz w:val="16"/>
                              <w:szCs w:val="12"/>
                            </w:rPr>
                          </w:pPr>
                          <w:r w:rsidRPr="00D36735">
                            <w:rPr>
                              <w:rFonts w:ascii="Arial" w:hAnsi="Arial" w:cs="Arial"/>
                              <w:sz w:val="16"/>
                              <w:szCs w:val="12"/>
                            </w:rPr>
                            <w:t>ABN 43 095 907 857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5134F" id="_x0000_t202" coordsize="21600,21600" o:spt="202" path="m,l,21600r21600,l21600,xe">
              <v:stroke joinstyle="miter"/>
              <v:path gradientshapeok="t" o:connecttype="rect"/>
            </v:shapetype>
            <v:shape id="Text Box 36" o:spid="_x0000_s1026" type="#_x0000_t202" style="position:absolute;left:0;text-align:left;margin-left:331.65pt;margin-top:-7.7pt;width:135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NMxQIAAPc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" filled="f" stroked="f">
              <v:textbox inset=",7.2pt,,7.2pt">
                <w:txbxContent>
                  <w:p w:rsidR="0056793C" w:rsidRPr="00D3388A" w:rsidRDefault="0056793C" w:rsidP="00B73FC6">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Level 1, 15</w:t>
                    </w:r>
                    <w:r>
                      <w:rPr>
                        <w:rFonts w:ascii="Arial" w:hAnsi="Arial" w:cs="Arial"/>
                        <w:sz w:val="16"/>
                        <w:szCs w:val="16"/>
                      </w:rPr>
                      <w:t>-17</w:t>
                    </w:r>
                    <w:r w:rsidRPr="00D3388A">
                      <w:rPr>
                        <w:rFonts w:ascii="Arial" w:hAnsi="Arial" w:cs="Arial"/>
                        <w:sz w:val="16"/>
                        <w:szCs w:val="16"/>
                      </w:rPr>
                      <w:t xml:space="preserve"> Queen Street</w:t>
                    </w:r>
                  </w:p>
                  <w:p w:rsidR="0056793C" w:rsidRPr="00D3388A" w:rsidRDefault="0056793C" w:rsidP="00B73FC6">
                    <w:pPr>
                      <w:tabs>
                        <w:tab w:val="left" w:pos="2232"/>
                      </w:tabs>
                      <w:autoSpaceDE w:val="0"/>
                      <w:autoSpaceDN w:val="0"/>
                      <w:adjustRightInd w:val="0"/>
                      <w:spacing w:line="276" w:lineRule="auto"/>
                      <w:ind w:right="-178"/>
                      <w:rPr>
                        <w:rFonts w:ascii="Arial" w:hAnsi="Arial" w:cs="Arial"/>
                        <w:sz w:val="16"/>
                        <w:szCs w:val="16"/>
                      </w:rPr>
                    </w:pPr>
                    <w:r w:rsidRPr="00D3388A">
                      <w:rPr>
                        <w:rFonts w:ascii="Arial" w:hAnsi="Arial" w:cs="Arial"/>
                        <w:sz w:val="16"/>
                        <w:szCs w:val="16"/>
                      </w:rPr>
                      <w:t>Melbourne Victoria 3000</w:t>
                    </w:r>
                  </w:p>
                  <w:p w:rsidR="0056793C" w:rsidRPr="00D3388A" w:rsidRDefault="0056793C" w:rsidP="00B73FC6">
                    <w:pPr>
                      <w:tabs>
                        <w:tab w:val="left" w:pos="2232"/>
                      </w:tabs>
                      <w:autoSpaceDE w:val="0"/>
                      <w:autoSpaceDN w:val="0"/>
                      <w:adjustRightInd w:val="0"/>
                      <w:spacing w:line="276" w:lineRule="auto"/>
                      <w:ind w:right="-178"/>
                      <w:rPr>
                        <w:rFonts w:ascii="Arial" w:hAnsi="Arial" w:cs="Arial"/>
                        <w:sz w:val="16"/>
                        <w:szCs w:val="16"/>
                      </w:rPr>
                    </w:pPr>
                    <w:proofErr w:type="gramStart"/>
                    <w:r w:rsidRPr="009A7B10">
                      <w:rPr>
                        <w:rFonts w:ascii="Arial" w:hAnsi="Arial" w:cs="Arial"/>
                        <w:b/>
                        <w:sz w:val="16"/>
                        <w:szCs w:val="16"/>
                      </w:rPr>
                      <w:t>T</w:t>
                    </w:r>
                    <w:r w:rsidRPr="00D3388A">
                      <w:rPr>
                        <w:rFonts w:ascii="Arial" w:hAnsi="Arial" w:cs="Arial"/>
                        <w:sz w:val="16"/>
                        <w:szCs w:val="16"/>
                      </w:rPr>
                      <w:t xml:space="preserve">  61</w:t>
                    </w:r>
                    <w:proofErr w:type="gramEnd"/>
                    <w:r w:rsidRPr="00D3388A">
                      <w:rPr>
                        <w:rFonts w:ascii="Arial" w:hAnsi="Arial" w:cs="Arial"/>
                        <w:sz w:val="16"/>
                        <w:szCs w:val="16"/>
                      </w:rPr>
                      <w:t xml:space="preserve"> 3 8614 2000</w:t>
                    </w:r>
                  </w:p>
                  <w:p w:rsidR="0056793C" w:rsidRPr="00D3388A" w:rsidRDefault="0056793C" w:rsidP="00B73FC6">
                    <w:pPr>
                      <w:tabs>
                        <w:tab w:val="left" w:pos="2232"/>
                      </w:tabs>
                      <w:autoSpaceDE w:val="0"/>
                      <w:autoSpaceDN w:val="0"/>
                      <w:adjustRightInd w:val="0"/>
                      <w:spacing w:line="276" w:lineRule="auto"/>
                      <w:ind w:right="-178"/>
                      <w:rPr>
                        <w:rFonts w:ascii="Arial" w:hAnsi="Arial" w:cs="Arial"/>
                        <w:sz w:val="16"/>
                        <w:szCs w:val="16"/>
                      </w:rPr>
                    </w:pPr>
                    <w:proofErr w:type="gramStart"/>
                    <w:r w:rsidRPr="009A7B10">
                      <w:rPr>
                        <w:rFonts w:ascii="Arial" w:hAnsi="Arial" w:cs="Arial"/>
                        <w:b/>
                        <w:sz w:val="16"/>
                        <w:szCs w:val="16"/>
                      </w:rPr>
                      <w:t>F</w:t>
                    </w:r>
                    <w:r>
                      <w:rPr>
                        <w:rFonts w:ascii="Arial" w:hAnsi="Arial" w:cs="Arial"/>
                        <w:b/>
                        <w:sz w:val="16"/>
                        <w:szCs w:val="16"/>
                      </w:rPr>
                      <w:t xml:space="preserve"> </w:t>
                    </w:r>
                    <w:r w:rsidRPr="00D3388A">
                      <w:rPr>
                        <w:rFonts w:ascii="Arial" w:hAnsi="Arial" w:cs="Arial"/>
                        <w:sz w:val="16"/>
                        <w:szCs w:val="16"/>
                      </w:rPr>
                      <w:t xml:space="preserve"> 61</w:t>
                    </w:r>
                    <w:proofErr w:type="gramEnd"/>
                    <w:r>
                      <w:rPr>
                        <w:rFonts w:ascii="Arial" w:hAnsi="Arial" w:cs="Arial"/>
                        <w:sz w:val="16"/>
                        <w:szCs w:val="16"/>
                      </w:rPr>
                      <w:t xml:space="preserve"> </w:t>
                    </w:r>
                    <w:r w:rsidRPr="00D3388A">
                      <w:rPr>
                        <w:rFonts w:ascii="Arial" w:hAnsi="Arial" w:cs="Arial"/>
                        <w:sz w:val="16"/>
                        <w:szCs w:val="16"/>
                      </w:rPr>
                      <w:t>3 9614 1166</w:t>
                    </w:r>
                  </w:p>
                  <w:p w:rsidR="0056793C" w:rsidRPr="00D3388A" w:rsidRDefault="0056793C" w:rsidP="00B73FC6">
                    <w:pPr>
                      <w:tabs>
                        <w:tab w:val="left" w:pos="2232"/>
                      </w:tabs>
                      <w:autoSpaceDE w:val="0"/>
                      <w:autoSpaceDN w:val="0"/>
                      <w:adjustRightInd w:val="0"/>
                      <w:spacing w:line="276" w:lineRule="auto"/>
                      <w:ind w:right="-178"/>
                      <w:rPr>
                        <w:rFonts w:ascii="Arial" w:hAnsi="Arial" w:cs="Arial"/>
                        <w:sz w:val="16"/>
                        <w:szCs w:val="16"/>
                      </w:rPr>
                    </w:pPr>
                    <w:r w:rsidRPr="009A7B10">
                      <w:rPr>
                        <w:rFonts w:ascii="Arial" w:hAnsi="Arial" w:cs="Arial"/>
                        <w:b/>
                        <w:sz w:val="16"/>
                        <w:szCs w:val="16"/>
                      </w:rPr>
                      <w:t>W</w:t>
                    </w:r>
                    <w:r w:rsidRPr="00D3388A">
                      <w:rPr>
                        <w:rFonts w:ascii="Arial" w:hAnsi="Arial" w:cs="Arial"/>
                        <w:sz w:val="16"/>
                        <w:szCs w:val="16"/>
                      </w:rPr>
                      <w:t xml:space="preserve"> </w:t>
                    </w:r>
                    <w:hyperlink r:id="rId2" w:history="1">
                      <w:r w:rsidRPr="00D3388A">
                        <w:rPr>
                          <w:rStyle w:val="Hyperlink"/>
                          <w:rFonts w:ascii="Arial" w:hAnsi="Arial" w:cs="Arial"/>
                          <w:sz w:val="16"/>
                          <w:szCs w:val="16"/>
                        </w:rPr>
                        <w:t>www.liveperformance.com.au</w:t>
                      </w:r>
                    </w:hyperlink>
                  </w:p>
                  <w:p w:rsidR="0056793C" w:rsidRPr="00D36735" w:rsidRDefault="0056793C" w:rsidP="00B73FC6">
                    <w:pPr>
                      <w:tabs>
                        <w:tab w:val="left" w:pos="2232"/>
                      </w:tabs>
                      <w:autoSpaceDE w:val="0"/>
                      <w:autoSpaceDN w:val="0"/>
                      <w:adjustRightInd w:val="0"/>
                      <w:spacing w:line="276" w:lineRule="auto"/>
                      <w:ind w:right="-178"/>
                      <w:rPr>
                        <w:rFonts w:ascii="Arial" w:eastAsia="Times New Roman" w:hAnsi="Arial" w:cs="Arial"/>
                        <w:color w:val="231F20"/>
                        <w:sz w:val="16"/>
                        <w:szCs w:val="12"/>
                      </w:rPr>
                    </w:pPr>
                    <w:r w:rsidRPr="00D36735">
                      <w:rPr>
                        <w:rFonts w:ascii="Arial" w:hAnsi="Arial" w:cs="Arial"/>
                        <w:sz w:val="16"/>
                        <w:szCs w:val="12"/>
                      </w:rPr>
                      <w:t>ABN 43 095 907 857</w:t>
                    </w:r>
                  </w:p>
                </w:txbxContent>
              </v:textbox>
              <w10:wrap type="tight"/>
            </v:shape>
          </w:pict>
        </mc:Fallback>
      </mc:AlternateContent>
    </w:r>
    <w:r w:rsidR="00034152">
      <w:rPr>
        <w:rFonts w:ascii="Arial" w:hAnsi="Arial" w:cs="Arial"/>
        <w:noProof/>
        <w:sz w:val="20"/>
        <w:lang w:eastAsia="en-AU"/>
      </w:rPr>
      <w:drawing>
        <wp:inline distT="0" distB="0" distL="0" distR="0">
          <wp:extent cx="2457450" cy="754619"/>
          <wp:effectExtent l="0" t="0" r="0" b="7620"/>
          <wp:docPr id="3" name="Picture 3" descr="I:\Meetings and Committees\2017\Centenary\100 years assets\100 years - lock up\100 years Lock up 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eetings and Committees\2017\Centenary\100 years assets\100 years - lock up\100 years Lock up colour 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06164" cy="769578"/>
                  </a:xfrm>
                  <a:prstGeom prst="rect">
                    <a:avLst/>
                  </a:prstGeom>
                  <a:noFill/>
                  <a:ln>
                    <a:noFill/>
                  </a:ln>
                </pic:spPr>
              </pic:pic>
            </a:graphicData>
          </a:graphic>
        </wp:inline>
      </w:drawing>
    </w:r>
  </w:p>
  <w:p w:rsidR="0056793C" w:rsidRDefault="005679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A24C2"/>
    <w:multiLevelType w:val="hybridMultilevel"/>
    <w:tmpl w:val="5888E3C4"/>
    <w:lvl w:ilvl="0" w:tplc="8678144E">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15:restartNumberingAfterBreak="0">
    <w:nsid w:val="2AC44934"/>
    <w:multiLevelType w:val="multilevel"/>
    <w:tmpl w:val="75D6132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5B5142"/>
    <w:multiLevelType w:val="hybridMultilevel"/>
    <w:tmpl w:val="54049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09041F"/>
    <w:multiLevelType w:val="hybridMultilevel"/>
    <w:tmpl w:val="AED24682"/>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4" w15:restartNumberingAfterBreak="0">
    <w:nsid w:val="6B5578ED"/>
    <w:multiLevelType w:val="multilevel"/>
    <w:tmpl w:val="D8B4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F0"/>
    <w:rsid w:val="0001442A"/>
    <w:rsid w:val="00020FF9"/>
    <w:rsid w:val="000329C2"/>
    <w:rsid w:val="00034152"/>
    <w:rsid w:val="00040A06"/>
    <w:rsid w:val="00053554"/>
    <w:rsid w:val="00075D50"/>
    <w:rsid w:val="000766E7"/>
    <w:rsid w:val="00077359"/>
    <w:rsid w:val="000810FF"/>
    <w:rsid w:val="00081B9F"/>
    <w:rsid w:val="000855B8"/>
    <w:rsid w:val="000A1708"/>
    <w:rsid w:val="000A3316"/>
    <w:rsid w:val="000A33BC"/>
    <w:rsid w:val="000A6C75"/>
    <w:rsid w:val="000B1C5C"/>
    <w:rsid w:val="000C3924"/>
    <w:rsid w:val="000C6AA2"/>
    <w:rsid w:val="000C6BFD"/>
    <w:rsid w:val="000D5462"/>
    <w:rsid w:val="000E0888"/>
    <w:rsid w:val="001000BF"/>
    <w:rsid w:val="001276F7"/>
    <w:rsid w:val="00131BDE"/>
    <w:rsid w:val="001347EA"/>
    <w:rsid w:val="001424D8"/>
    <w:rsid w:val="0015140B"/>
    <w:rsid w:val="00156491"/>
    <w:rsid w:val="00170320"/>
    <w:rsid w:val="00170494"/>
    <w:rsid w:val="00173EE0"/>
    <w:rsid w:val="0017424C"/>
    <w:rsid w:val="00180931"/>
    <w:rsid w:val="00181E06"/>
    <w:rsid w:val="00187BEB"/>
    <w:rsid w:val="00195396"/>
    <w:rsid w:val="00195733"/>
    <w:rsid w:val="001C2129"/>
    <w:rsid w:val="001D0214"/>
    <w:rsid w:val="001D712A"/>
    <w:rsid w:val="001F1756"/>
    <w:rsid w:val="00205D68"/>
    <w:rsid w:val="00213DD0"/>
    <w:rsid w:val="002265C2"/>
    <w:rsid w:val="002533B5"/>
    <w:rsid w:val="00263F8E"/>
    <w:rsid w:val="0027273F"/>
    <w:rsid w:val="00276C0C"/>
    <w:rsid w:val="0027769E"/>
    <w:rsid w:val="002A7206"/>
    <w:rsid w:val="002B05D1"/>
    <w:rsid w:val="002B071E"/>
    <w:rsid w:val="002B30A4"/>
    <w:rsid w:val="002B529B"/>
    <w:rsid w:val="002D31C8"/>
    <w:rsid w:val="002E4A48"/>
    <w:rsid w:val="002F3003"/>
    <w:rsid w:val="003214DC"/>
    <w:rsid w:val="00322B51"/>
    <w:rsid w:val="003324E5"/>
    <w:rsid w:val="00343B10"/>
    <w:rsid w:val="00354535"/>
    <w:rsid w:val="0036722A"/>
    <w:rsid w:val="00370AB0"/>
    <w:rsid w:val="00370FAA"/>
    <w:rsid w:val="00372E00"/>
    <w:rsid w:val="003762CA"/>
    <w:rsid w:val="00386CF4"/>
    <w:rsid w:val="00392641"/>
    <w:rsid w:val="0039558E"/>
    <w:rsid w:val="003A2520"/>
    <w:rsid w:val="003A5A73"/>
    <w:rsid w:val="003B02B0"/>
    <w:rsid w:val="003B2632"/>
    <w:rsid w:val="003B6986"/>
    <w:rsid w:val="003C0263"/>
    <w:rsid w:val="003C1729"/>
    <w:rsid w:val="003D2CF0"/>
    <w:rsid w:val="0042609C"/>
    <w:rsid w:val="00434EA6"/>
    <w:rsid w:val="00454C41"/>
    <w:rsid w:val="00457548"/>
    <w:rsid w:val="004606C8"/>
    <w:rsid w:val="00462E6A"/>
    <w:rsid w:val="0047216B"/>
    <w:rsid w:val="004766D9"/>
    <w:rsid w:val="004927C8"/>
    <w:rsid w:val="00493A7B"/>
    <w:rsid w:val="00493BC9"/>
    <w:rsid w:val="00497735"/>
    <w:rsid w:val="004A0385"/>
    <w:rsid w:val="004A244E"/>
    <w:rsid w:val="004B03DA"/>
    <w:rsid w:val="004B4D00"/>
    <w:rsid w:val="004C27D1"/>
    <w:rsid w:val="004C500C"/>
    <w:rsid w:val="004D4EF8"/>
    <w:rsid w:val="004D56B6"/>
    <w:rsid w:val="004E1CD0"/>
    <w:rsid w:val="004E34A0"/>
    <w:rsid w:val="00505D03"/>
    <w:rsid w:val="00523B35"/>
    <w:rsid w:val="0056793C"/>
    <w:rsid w:val="0058508C"/>
    <w:rsid w:val="005C1115"/>
    <w:rsid w:val="005C43E7"/>
    <w:rsid w:val="005C7F69"/>
    <w:rsid w:val="005D008D"/>
    <w:rsid w:val="005D1CC9"/>
    <w:rsid w:val="005D38D7"/>
    <w:rsid w:val="005D4CE5"/>
    <w:rsid w:val="00610040"/>
    <w:rsid w:val="006150DC"/>
    <w:rsid w:val="006226C5"/>
    <w:rsid w:val="00626AC3"/>
    <w:rsid w:val="00631DC0"/>
    <w:rsid w:val="0063289C"/>
    <w:rsid w:val="006366B9"/>
    <w:rsid w:val="00643157"/>
    <w:rsid w:val="00674694"/>
    <w:rsid w:val="00677363"/>
    <w:rsid w:val="0068591D"/>
    <w:rsid w:val="00686CEC"/>
    <w:rsid w:val="00687E28"/>
    <w:rsid w:val="006A5D2E"/>
    <w:rsid w:val="006B0BD4"/>
    <w:rsid w:val="006B2F46"/>
    <w:rsid w:val="006B59F1"/>
    <w:rsid w:val="006B7B52"/>
    <w:rsid w:val="006D4F5B"/>
    <w:rsid w:val="006E6912"/>
    <w:rsid w:val="006E73C0"/>
    <w:rsid w:val="006F32F9"/>
    <w:rsid w:val="00702A56"/>
    <w:rsid w:val="007032EC"/>
    <w:rsid w:val="00704C4E"/>
    <w:rsid w:val="00706077"/>
    <w:rsid w:val="00706B50"/>
    <w:rsid w:val="0072186B"/>
    <w:rsid w:val="00724257"/>
    <w:rsid w:val="0074311C"/>
    <w:rsid w:val="0075172B"/>
    <w:rsid w:val="00753738"/>
    <w:rsid w:val="00764C91"/>
    <w:rsid w:val="00772416"/>
    <w:rsid w:val="00773B8F"/>
    <w:rsid w:val="0077638C"/>
    <w:rsid w:val="00780D5A"/>
    <w:rsid w:val="00785818"/>
    <w:rsid w:val="0079363A"/>
    <w:rsid w:val="007945F4"/>
    <w:rsid w:val="007D2BD2"/>
    <w:rsid w:val="007E2ED9"/>
    <w:rsid w:val="00805FF9"/>
    <w:rsid w:val="00806287"/>
    <w:rsid w:val="00812D37"/>
    <w:rsid w:val="00813E32"/>
    <w:rsid w:val="00814127"/>
    <w:rsid w:val="00827AE9"/>
    <w:rsid w:val="00833AC0"/>
    <w:rsid w:val="00840BAA"/>
    <w:rsid w:val="008512F1"/>
    <w:rsid w:val="0085323C"/>
    <w:rsid w:val="00866607"/>
    <w:rsid w:val="00882D4C"/>
    <w:rsid w:val="00884A7A"/>
    <w:rsid w:val="00890284"/>
    <w:rsid w:val="008A474B"/>
    <w:rsid w:val="008B7900"/>
    <w:rsid w:val="008D4633"/>
    <w:rsid w:val="008E19CE"/>
    <w:rsid w:val="008E6CE5"/>
    <w:rsid w:val="008F1A2C"/>
    <w:rsid w:val="008F3491"/>
    <w:rsid w:val="00907478"/>
    <w:rsid w:val="00911A70"/>
    <w:rsid w:val="0092759D"/>
    <w:rsid w:val="00945278"/>
    <w:rsid w:val="00951821"/>
    <w:rsid w:val="009577F3"/>
    <w:rsid w:val="009617BE"/>
    <w:rsid w:val="009619CA"/>
    <w:rsid w:val="00967E70"/>
    <w:rsid w:val="00973136"/>
    <w:rsid w:val="00976829"/>
    <w:rsid w:val="00984275"/>
    <w:rsid w:val="00991E80"/>
    <w:rsid w:val="00996172"/>
    <w:rsid w:val="009C0AEB"/>
    <w:rsid w:val="009C3731"/>
    <w:rsid w:val="009C7F96"/>
    <w:rsid w:val="009D2036"/>
    <w:rsid w:val="009D4F87"/>
    <w:rsid w:val="009D7F57"/>
    <w:rsid w:val="009E1B9E"/>
    <w:rsid w:val="009E6365"/>
    <w:rsid w:val="009E648C"/>
    <w:rsid w:val="009F0527"/>
    <w:rsid w:val="00A02C90"/>
    <w:rsid w:val="00A063D3"/>
    <w:rsid w:val="00A2460C"/>
    <w:rsid w:val="00A4157A"/>
    <w:rsid w:val="00A47834"/>
    <w:rsid w:val="00A51CEE"/>
    <w:rsid w:val="00A54A1D"/>
    <w:rsid w:val="00A54D9D"/>
    <w:rsid w:val="00A60D22"/>
    <w:rsid w:val="00A66FC0"/>
    <w:rsid w:val="00A67068"/>
    <w:rsid w:val="00A7211D"/>
    <w:rsid w:val="00A80858"/>
    <w:rsid w:val="00A968A9"/>
    <w:rsid w:val="00A975FE"/>
    <w:rsid w:val="00A97CFA"/>
    <w:rsid w:val="00AA2BAC"/>
    <w:rsid w:val="00AA6B22"/>
    <w:rsid w:val="00AB4BE2"/>
    <w:rsid w:val="00AD2AD7"/>
    <w:rsid w:val="00AD7F0D"/>
    <w:rsid w:val="00AF50B0"/>
    <w:rsid w:val="00B16BE1"/>
    <w:rsid w:val="00B2108E"/>
    <w:rsid w:val="00B27122"/>
    <w:rsid w:val="00B45FA5"/>
    <w:rsid w:val="00B73FC6"/>
    <w:rsid w:val="00B8368D"/>
    <w:rsid w:val="00B906BA"/>
    <w:rsid w:val="00BB2998"/>
    <w:rsid w:val="00BC5182"/>
    <w:rsid w:val="00BD5329"/>
    <w:rsid w:val="00BD586A"/>
    <w:rsid w:val="00BE02EC"/>
    <w:rsid w:val="00BE3BAC"/>
    <w:rsid w:val="00C06DB1"/>
    <w:rsid w:val="00C371BD"/>
    <w:rsid w:val="00C47317"/>
    <w:rsid w:val="00C54630"/>
    <w:rsid w:val="00C606E3"/>
    <w:rsid w:val="00C70FEE"/>
    <w:rsid w:val="00C93E86"/>
    <w:rsid w:val="00CB231B"/>
    <w:rsid w:val="00CC1399"/>
    <w:rsid w:val="00CC2AC0"/>
    <w:rsid w:val="00CC4847"/>
    <w:rsid w:val="00CC7F09"/>
    <w:rsid w:val="00CD175D"/>
    <w:rsid w:val="00CD7019"/>
    <w:rsid w:val="00CE481A"/>
    <w:rsid w:val="00D013EE"/>
    <w:rsid w:val="00D04B75"/>
    <w:rsid w:val="00D17580"/>
    <w:rsid w:val="00D176AB"/>
    <w:rsid w:val="00D21B40"/>
    <w:rsid w:val="00D235D2"/>
    <w:rsid w:val="00D32E15"/>
    <w:rsid w:val="00D352F0"/>
    <w:rsid w:val="00D36735"/>
    <w:rsid w:val="00D37EED"/>
    <w:rsid w:val="00D4147D"/>
    <w:rsid w:val="00D42C42"/>
    <w:rsid w:val="00D43D08"/>
    <w:rsid w:val="00D44D7E"/>
    <w:rsid w:val="00D55365"/>
    <w:rsid w:val="00D6036C"/>
    <w:rsid w:val="00D64768"/>
    <w:rsid w:val="00D84A92"/>
    <w:rsid w:val="00D84E8F"/>
    <w:rsid w:val="00D85115"/>
    <w:rsid w:val="00D870D4"/>
    <w:rsid w:val="00D94609"/>
    <w:rsid w:val="00DA16B7"/>
    <w:rsid w:val="00DA6BE3"/>
    <w:rsid w:val="00DC1A1D"/>
    <w:rsid w:val="00DD4357"/>
    <w:rsid w:val="00DD4569"/>
    <w:rsid w:val="00DE2CA9"/>
    <w:rsid w:val="00E06396"/>
    <w:rsid w:val="00E10FED"/>
    <w:rsid w:val="00E13FDA"/>
    <w:rsid w:val="00E14771"/>
    <w:rsid w:val="00E20A15"/>
    <w:rsid w:val="00E23E00"/>
    <w:rsid w:val="00E25307"/>
    <w:rsid w:val="00E260E5"/>
    <w:rsid w:val="00E3670F"/>
    <w:rsid w:val="00E370D8"/>
    <w:rsid w:val="00E4437D"/>
    <w:rsid w:val="00E5137A"/>
    <w:rsid w:val="00E548F3"/>
    <w:rsid w:val="00E54DD6"/>
    <w:rsid w:val="00E7124E"/>
    <w:rsid w:val="00EA4AA8"/>
    <w:rsid w:val="00EA5939"/>
    <w:rsid w:val="00EB04DE"/>
    <w:rsid w:val="00EB2729"/>
    <w:rsid w:val="00EB32D8"/>
    <w:rsid w:val="00EB3ACA"/>
    <w:rsid w:val="00EC19E9"/>
    <w:rsid w:val="00EC59AB"/>
    <w:rsid w:val="00ED1A7A"/>
    <w:rsid w:val="00F04170"/>
    <w:rsid w:val="00F07D4D"/>
    <w:rsid w:val="00F124E7"/>
    <w:rsid w:val="00F4256E"/>
    <w:rsid w:val="00F54E26"/>
    <w:rsid w:val="00F65535"/>
    <w:rsid w:val="00F679BC"/>
    <w:rsid w:val="00F706DB"/>
    <w:rsid w:val="00F751EB"/>
    <w:rsid w:val="00F83165"/>
    <w:rsid w:val="00F8787E"/>
    <w:rsid w:val="00F94ECA"/>
    <w:rsid w:val="00F9557B"/>
    <w:rsid w:val="00F96E28"/>
    <w:rsid w:val="00FC021B"/>
    <w:rsid w:val="00FC1B48"/>
    <w:rsid w:val="00FF2F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BBFBEB1-82BC-4023-BBFB-C8BFA8B4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1729"/>
    <w:pPr>
      <w:tabs>
        <w:tab w:val="center" w:pos="4320"/>
        <w:tab w:val="right" w:pos="8640"/>
      </w:tabs>
    </w:pPr>
  </w:style>
  <w:style w:type="paragraph" w:styleId="Footer">
    <w:name w:val="footer"/>
    <w:basedOn w:val="Normal"/>
    <w:rsid w:val="003C1729"/>
    <w:pPr>
      <w:tabs>
        <w:tab w:val="center" w:pos="4320"/>
        <w:tab w:val="right" w:pos="8640"/>
      </w:tabs>
    </w:pPr>
  </w:style>
  <w:style w:type="character" w:styleId="Hyperlink">
    <w:name w:val="Hyperlink"/>
    <w:basedOn w:val="DefaultParagraphFont"/>
    <w:rsid w:val="009C0AEB"/>
    <w:rPr>
      <w:color w:val="0000FF"/>
      <w:u w:val="single"/>
    </w:rPr>
  </w:style>
  <w:style w:type="paragraph" w:customStyle="1" w:styleId="SenderAddress">
    <w:name w:val="Sender Address"/>
    <w:basedOn w:val="Normal"/>
    <w:rsid w:val="0074311C"/>
    <w:rPr>
      <w:rFonts w:ascii="Times New Roman" w:eastAsia="Times New Roman" w:hAnsi="Times New Roman"/>
      <w:szCs w:val="24"/>
      <w:lang w:val="en-US"/>
    </w:rPr>
  </w:style>
  <w:style w:type="paragraph" w:customStyle="1" w:styleId="RecipientAddress">
    <w:name w:val="Recipient Address"/>
    <w:basedOn w:val="Normal"/>
    <w:rsid w:val="0074311C"/>
    <w:rPr>
      <w:rFonts w:ascii="Times New Roman" w:eastAsia="Times New Roman" w:hAnsi="Times New Roman"/>
      <w:szCs w:val="24"/>
      <w:lang w:val="en-US"/>
    </w:rPr>
  </w:style>
  <w:style w:type="paragraph" w:styleId="Salutation">
    <w:name w:val="Salutation"/>
    <w:basedOn w:val="Normal"/>
    <w:next w:val="Normal"/>
    <w:link w:val="SalutationChar"/>
    <w:rsid w:val="0074311C"/>
    <w:pPr>
      <w:spacing w:before="220" w:after="220" w:line="220" w:lineRule="atLeast"/>
    </w:pPr>
    <w:rPr>
      <w:rFonts w:ascii="Arial" w:eastAsia="Times New Roman" w:hAnsi="Arial"/>
      <w:spacing w:val="-5"/>
      <w:sz w:val="20"/>
      <w:lang w:val="en-US"/>
    </w:rPr>
  </w:style>
  <w:style w:type="paragraph" w:styleId="Signature">
    <w:name w:val="Signature"/>
    <w:basedOn w:val="Normal"/>
    <w:next w:val="Normal"/>
    <w:link w:val="SignatureChar"/>
    <w:rsid w:val="0074311C"/>
    <w:pPr>
      <w:keepNext/>
      <w:spacing w:before="880" w:line="220" w:lineRule="atLeast"/>
    </w:pPr>
    <w:rPr>
      <w:rFonts w:ascii="Arial" w:eastAsia="Times New Roman" w:hAnsi="Arial"/>
      <w:spacing w:val="-5"/>
      <w:sz w:val="20"/>
      <w:lang w:val="en-US"/>
    </w:rPr>
  </w:style>
  <w:style w:type="paragraph" w:styleId="BalloonText">
    <w:name w:val="Balloon Text"/>
    <w:basedOn w:val="Normal"/>
    <w:link w:val="BalloonTextChar"/>
    <w:rsid w:val="00F8787E"/>
    <w:rPr>
      <w:rFonts w:ascii="Segoe UI" w:hAnsi="Segoe UI" w:cs="Segoe UI"/>
      <w:sz w:val="18"/>
      <w:szCs w:val="18"/>
    </w:rPr>
  </w:style>
  <w:style w:type="character" w:customStyle="1" w:styleId="BalloonTextChar">
    <w:name w:val="Balloon Text Char"/>
    <w:basedOn w:val="DefaultParagraphFont"/>
    <w:link w:val="BalloonText"/>
    <w:rsid w:val="00F8787E"/>
    <w:rPr>
      <w:rFonts w:ascii="Segoe UI" w:hAnsi="Segoe UI" w:cs="Segoe UI"/>
      <w:sz w:val="18"/>
      <w:szCs w:val="18"/>
      <w:lang w:eastAsia="en-US"/>
    </w:rPr>
  </w:style>
  <w:style w:type="character" w:customStyle="1" w:styleId="SalutationChar">
    <w:name w:val="Salutation Char"/>
    <w:basedOn w:val="DefaultParagraphFont"/>
    <w:link w:val="Salutation"/>
    <w:rsid w:val="007032EC"/>
    <w:rPr>
      <w:rFonts w:ascii="Arial" w:eastAsia="Times New Roman" w:hAnsi="Arial"/>
      <w:spacing w:val="-5"/>
      <w:lang w:val="en-US" w:eastAsia="en-US"/>
    </w:rPr>
  </w:style>
  <w:style w:type="character" w:customStyle="1" w:styleId="SignatureChar">
    <w:name w:val="Signature Char"/>
    <w:basedOn w:val="DefaultParagraphFont"/>
    <w:link w:val="Signature"/>
    <w:rsid w:val="007032EC"/>
    <w:rPr>
      <w:rFonts w:ascii="Arial" w:eastAsia="Times New Roman" w:hAnsi="Arial"/>
      <w:spacing w:val="-5"/>
      <w:lang w:val="en-US" w:eastAsia="en-US"/>
    </w:rPr>
  </w:style>
  <w:style w:type="paragraph" w:styleId="NoSpacing">
    <w:name w:val="No Spacing"/>
    <w:uiPriority w:val="1"/>
    <w:qFormat/>
    <w:rsid w:val="00457548"/>
    <w:rPr>
      <w:sz w:val="24"/>
      <w:lang w:eastAsia="en-US"/>
    </w:rPr>
  </w:style>
  <w:style w:type="paragraph" w:styleId="ListParagraph">
    <w:name w:val="List Paragraph"/>
    <w:basedOn w:val="Normal"/>
    <w:uiPriority w:val="34"/>
    <w:qFormat/>
    <w:rsid w:val="00F54E26"/>
    <w:pPr>
      <w:ind w:left="720"/>
      <w:contextualSpacing/>
    </w:pPr>
  </w:style>
  <w:style w:type="character" w:styleId="CommentReference">
    <w:name w:val="annotation reference"/>
    <w:basedOn w:val="DefaultParagraphFont"/>
    <w:semiHidden/>
    <w:unhideWhenUsed/>
    <w:rsid w:val="004E34A0"/>
    <w:rPr>
      <w:sz w:val="16"/>
      <w:szCs w:val="16"/>
    </w:rPr>
  </w:style>
  <w:style w:type="paragraph" w:styleId="CommentText">
    <w:name w:val="annotation text"/>
    <w:basedOn w:val="Normal"/>
    <w:link w:val="CommentTextChar"/>
    <w:semiHidden/>
    <w:unhideWhenUsed/>
    <w:rsid w:val="004E34A0"/>
    <w:rPr>
      <w:sz w:val="20"/>
    </w:rPr>
  </w:style>
  <w:style w:type="character" w:customStyle="1" w:styleId="CommentTextChar">
    <w:name w:val="Comment Text Char"/>
    <w:basedOn w:val="DefaultParagraphFont"/>
    <w:link w:val="CommentText"/>
    <w:semiHidden/>
    <w:rsid w:val="004E34A0"/>
    <w:rPr>
      <w:lang w:eastAsia="en-US"/>
    </w:rPr>
  </w:style>
  <w:style w:type="paragraph" w:styleId="CommentSubject">
    <w:name w:val="annotation subject"/>
    <w:basedOn w:val="CommentText"/>
    <w:next w:val="CommentText"/>
    <w:link w:val="CommentSubjectChar"/>
    <w:semiHidden/>
    <w:unhideWhenUsed/>
    <w:rsid w:val="004E34A0"/>
    <w:rPr>
      <w:b/>
      <w:bCs/>
    </w:rPr>
  </w:style>
  <w:style w:type="character" w:customStyle="1" w:styleId="CommentSubjectChar">
    <w:name w:val="Comment Subject Char"/>
    <w:basedOn w:val="CommentTextChar"/>
    <w:link w:val="CommentSubject"/>
    <w:semiHidden/>
    <w:rsid w:val="004E34A0"/>
    <w:rPr>
      <w:b/>
      <w:bCs/>
      <w:lang w:eastAsia="en-US"/>
    </w:rPr>
  </w:style>
  <w:style w:type="paragraph" w:styleId="FootnoteText">
    <w:name w:val="footnote text"/>
    <w:basedOn w:val="Normal"/>
    <w:link w:val="FootnoteTextChar"/>
    <w:semiHidden/>
    <w:unhideWhenUsed/>
    <w:rsid w:val="0015140B"/>
    <w:rPr>
      <w:sz w:val="20"/>
    </w:rPr>
  </w:style>
  <w:style w:type="character" w:customStyle="1" w:styleId="FootnoteTextChar">
    <w:name w:val="Footnote Text Char"/>
    <w:basedOn w:val="DefaultParagraphFont"/>
    <w:link w:val="FootnoteText"/>
    <w:semiHidden/>
    <w:rsid w:val="0015140B"/>
    <w:rPr>
      <w:lang w:eastAsia="en-US"/>
    </w:rPr>
  </w:style>
  <w:style w:type="character" w:styleId="FootnoteReference">
    <w:name w:val="footnote reference"/>
    <w:basedOn w:val="DefaultParagraphFont"/>
    <w:semiHidden/>
    <w:unhideWhenUsed/>
    <w:rsid w:val="001514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883">
      <w:bodyDiv w:val="1"/>
      <w:marLeft w:val="0"/>
      <w:marRight w:val="0"/>
      <w:marTop w:val="0"/>
      <w:marBottom w:val="0"/>
      <w:divBdr>
        <w:top w:val="none" w:sz="0" w:space="0" w:color="auto"/>
        <w:left w:val="none" w:sz="0" w:space="0" w:color="auto"/>
        <w:bottom w:val="none" w:sz="0" w:space="0" w:color="auto"/>
        <w:right w:val="none" w:sz="0" w:space="0" w:color="auto"/>
      </w:divBdr>
    </w:div>
    <w:div w:id="729771817">
      <w:bodyDiv w:val="1"/>
      <w:marLeft w:val="0"/>
      <w:marRight w:val="0"/>
      <w:marTop w:val="0"/>
      <w:marBottom w:val="0"/>
      <w:divBdr>
        <w:top w:val="none" w:sz="0" w:space="0" w:color="auto"/>
        <w:left w:val="none" w:sz="0" w:space="0" w:color="auto"/>
        <w:bottom w:val="none" w:sz="0" w:space="0" w:color="auto"/>
        <w:right w:val="none" w:sz="0" w:space="0" w:color="auto"/>
      </w:divBdr>
    </w:div>
    <w:div w:id="872184149">
      <w:bodyDiv w:val="1"/>
      <w:marLeft w:val="0"/>
      <w:marRight w:val="0"/>
      <w:marTop w:val="0"/>
      <w:marBottom w:val="0"/>
      <w:divBdr>
        <w:top w:val="none" w:sz="0" w:space="0" w:color="auto"/>
        <w:left w:val="none" w:sz="0" w:space="0" w:color="auto"/>
        <w:bottom w:val="none" w:sz="0" w:space="0" w:color="auto"/>
        <w:right w:val="none" w:sz="0" w:space="0" w:color="auto"/>
      </w:divBdr>
    </w:div>
    <w:div w:id="11483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dereviewer@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liveperformance.com.au" TargetMode="External"/><Relationship Id="rId1" Type="http://schemas.openxmlformats.org/officeDocument/2006/relationships/hyperlink" Target="http://www.liveperformanc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eguric\Documents\Custom%20Office%20Templates\LPA%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93736-4775-4058-A6C5-8983123E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LPA Letter</Template>
  <TotalTime>467</TotalTime>
  <Pages>3</Pages>
  <Words>1044</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Wellcom</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Greguric</dc:creator>
  <cp:lastModifiedBy>Holly Crain</cp:lastModifiedBy>
  <cp:revision>145</cp:revision>
  <cp:lastPrinted>2017-03-15T05:41:00Z</cp:lastPrinted>
  <dcterms:created xsi:type="dcterms:W3CDTF">2017-03-09T00:20:00Z</dcterms:created>
  <dcterms:modified xsi:type="dcterms:W3CDTF">2017-03-15T05:51:00Z</dcterms:modified>
</cp:coreProperties>
</file>