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textAlignment w:val="baseline"/>
        <w:rPr>
          <w:rStyle w:val="normaltextrun"/>
          <w:b/>
          <w:lang w:val="en-AU"/>
        </w:rPr>
      </w:pPr>
      <w:r>
        <w:rPr>
          <w:rStyle w:val="normaltextrun"/>
          <w:b/>
          <w:lang w:val="en-AU"/>
        </w:rPr>
        <w:t xml:space="preserve">APRA ANZ Live streaming Dramatic Context Licensing Guidance Note </w:t>
      </w:r>
      <w:bookmarkStart w:id="0" w:name="_GoBack"/>
      <w:bookmarkEnd w:id="0"/>
    </w:p>
    <w:p>
      <w:pPr>
        <w:spacing w:after="0"/>
        <w:textAlignment w:val="baseline"/>
        <w:rPr>
          <w:rStyle w:val="normaltextrun"/>
          <w:b/>
          <w:lang w:val="en-AU"/>
        </w:rPr>
      </w:pPr>
    </w:p>
    <w:p>
      <w:pPr>
        <w:spacing w:after="0"/>
        <w:textAlignment w:val="baseline"/>
        <w:rPr>
          <w:rStyle w:val="normaltextrun"/>
          <w:b/>
          <w:lang w:val="en-AU"/>
        </w:rPr>
      </w:pPr>
      <w:r>
        <w:rPr>
          <w:rStyle w:val="normaltextrun"/>
          <w:b/>
          <w:lang w:val="en-AU"/>
        </w:rPr>
        <w:t>27 March 2020</w:t>
      </w:r>
    </w:p>
    <w:p>
      <w:pPr>
        <w:spacing w:after="0"/>
        <w:textAlignment w:val="baseline"/>
        <w:rPr>
          <w:rStyle w:val="normaltextrun"/>
          <w:lang w:val="en-AU"/>
        </w:rPr>
      </w:pPr>
    </w:p>
    <w:p>
      <w:pPr>
        <w:spacing w:after="0"/>
        <w:textAlignment w:val="baseline"/>
        <w:rPr>
          <w:rStyle w:val="normaltextrun"/>
          <w:lang w:val="en-AU"/>
        </w:rPr>
      </w:pPr>
      <w:r>
        <w:rPr>
          <w:rStyle w:val="normaltextrun"/>
          <w:highlight w:val="yellow"/>
          <w:lang w:val="en-AU"/>
        </w:rPr>
        <w:t>Please note that this information is subject to change.</w:t>
      </w:r>
      <w:r>
        <w:rPr>
          <w:rStyle w:val="normaltextrun"/>
          <w:lang w:val="en-AU"/>
        </w:rPr>
        <w:t xml:space="preserve"> </w:t>
      </w:r>
    </w:p>
    <w:p>
      <w:pPr>
        <w:spacing w:after="0"/>
        <w:textAlignment w:val="baseline"/>
        <w:rPr>
          <w:rStyle w:val="normaltextrun"/>
          <w:lang w:val="en-AU"/>
        </w:rPr>
      </w:pPr>
    </w:p>
    <w:p>
      <w:pPr>
        <w:spacing w:after="0" w:line="240" w:lineRule="auto"/>
        <w:textAlignment w:val="baseline"/>
        <w:rPr>
          <w:rStyle w:val="normaltextrun"/>
        </w:rPr>
      </w:pPr>
      <w:r>
        <w:rPr>
          <w:rStyle w:val="normaltextrun"/>
        </w:rPr>
        <w:t>Our rates for the use of music online are generally higher than comparative rates for traditional uses including because of the additional rights used and the different business models. </w:t>
      </w:r>
    </w:p>
    <w:p>
      <w:pPr>
        <w:spacing w:after="0"/>
        <w:textAlignment w:val="baseline"/>
        <w:rPr>
          <w:rStyle w:val="normaltextrun"/>
        </w:rPr>
      </w:pPr>
    </w:p>
    <w:p>
      <w:pPr>
        <w:spacing w:after="0"/>
        <w:textAlignment w:val="baseline"/>
        <w:rPr>
          <w:rStyle w:val="normaltextrun"/>
        </w:rPr>
      </w:pPr>
      <w:r>
        <w:rPr>
          <w:rStyle w:val="normaltextrun"/>
        </w:rPr>
        <w:t>That said, given the unprecedented times we're currently living in, and while we reserve the right to review each request on its individual circumstances, subject to: </w:t>
      </w:r>
    </w:p>
    <w:p>
      <w:pPr>
        <w:pStyle w:val="ListParagraph"/>
        <w:numPr>
          <w:ilvl w:val="0"/>
          <w:numId w:val="11"/>
        </w:numPr>
        <w:spacing w:after="0"/>
        <w:textAlignment w:val="baseline"/>
        <w:rPr>
          <w:rStyle w:val="normaltextrun"/>
        </w:rPr>
      </w:pPr>
      <w:r>
        <w:rPr>
          <w:rStyle w:val="normaltextrun"/>
        </w:rPr>
        <w:t>the exclusion of some industry-specific schemes that already cover streaming; and</w:t>
      </w:r>
    </w:p>
    <w:p>
      <w:pPr>
        <w:pStyle w:val="ListParagraph"/>
        <w:numPr>
          <w:ilvl w:val="0"/>
          <w:numId w:val="11"/>
        </w:numPr>
        <w:spacing w:after="0"/>
        <w:textAlignment w:val="baseline"/>
        <w:rPr>
          <w:rStyle w:val="normaltextrun"/>
        </w:rPr>
      </w:pPr>
      <w:r>
        <w:rPr>
          <w:rStyle w:val="normaltextrun"/>
        </w:rPr>
        <w:t>the fact that we do not necessarily control all the relevant rights that a business may require,</w:t>
      </w:r>
    </w:p>
    <w:p>
      <w:pPr>
        <w:spacing w:after="0"/>
        <w:textAlignment w:val="baseline"/>
        <w:rPr>
          <w:rStyle w:val="normaltextrun"/>
        </w:rPr>
      </w:pPr>
    </w:p>
    <w:p>
      <w:pPr>
        <w:spacing w:after="0"/>
        <w:textAlignment w:val="baseline"/>
        <w:rPr>
          <w:rStyle w:val="normaltextrun"/>
        </w:rPr>
      </w:pPr>
      <w:r>
        <w:rPr>
          <w:rStyle w:val="normaltextrun"/>
        </w:rPr>
        <w:t>during this ‘lock-down period’ our general position is that we want do not want to be a hindrance to keeping the economy moving and accordingly where an existing licensee is merely transitioning what it did at its business to online, we will look to license and charge at standard rates. </w:t>
      </w:r>
    </w:p>
    <w:p>
      <w:pPr>
        <w:spacing w:after="0"/>
        <w:textAlignment w:val="baseline"/>
        <w:rPr>
          <w:rStyle w:val="normaltextrun"/>
          <w:lang w:val="en-AU"/>
        </w:rPr>
      </w:pPr>
    </w:p>
    <w:p>
      <w:pPr>
        <w:spacing w:after="0"/>
        <w:textAlignment w:val="baseline"/>
        <w:rPr>
          <w:rStyle w:val="normaltextrun"/>
          <w:lang w:val="en-AU"/>
        </w:rPr>
      </w:pPr>
      <w:r>
        <w:rPr>
          <w:rStyle w:val="normaltextrun"/>
          <w:lang w:val="en-AU"/>
        </w:rPr>
        <w:t>The highly concessional position we’re adopting is open to review as the situation develops.</w:t>
      </w:r>
    </w:p>
    <w:p>
      <w:pPr>
        <w:spacing w:after="0"/>
        <w:textAlignment w:val="baseline"/>
        <w:rPr>
          <w:rStyle w:val="normaltextrun"/>
          <w:lang w:val="en-AU"/>
        </w:rPr>
      </w:pPr>
    </w:p>
    <w:p>
      <w:pPr>
        <w:spacing w:after="0"/>
        <w:textAlignment w:val="baseline"/>
        <w:rPr>
          <w:rStyle w:val="normaltextrun"/>
          <w:lang w:val="en-AU"/>
        </w:rPr>
      </w:pPr>
      <w:r>
        <w:rPr>
          <w:rStyle w:val="normaltextrun"/>
          <w:lang w:val="en-AU"/>
        </w:rPr>
        <w:t xml:space="preserve">Please also be advised that this guidance </w:t>
      </w:r>
      <w:r>
        <w:rPr>
          <w:rStyle w:val="normaltextrun"/>
          <w:b/>
          <w:lang w:val="en-AU"/>
        </w:rPr>
        <w:t>only relates to</w:t>
      </w:r>
      <w:r>
        <w:rPr>
          <w:rStyle w:val="normaltextrun"/>
          <w:lang w:val="en-AU"/>
        </w:rPr>
        <w:t xml:space="preserve"> </w:t>
      </w:r>
      <w:r>
        <w:rPr>
          <w:rStyle w:val="normaltextrun"/>
          <w:b/>
          <w:lang w:val="en-AU"/>
        </w:rPr>
        <w:t>live streaming of performances</w:t>
      </w:r>
      <w:r>
        <w:rPr>
          <w:rStyle w:val="normaltextrun"/>
          <w:lang w:val="en-AU"/>
        </w:rPr>
        <w:t xml:space="preserve"> licensed under an APRA AMCOS dramatic context licence. It does not apply to pre-recorded performances made available online and does not apply to the use of sound recordings.</w:t>
      </w:r>
    </w:p>
    <w:p>
      <w:pPr>
        <w:pStyle w:val="paragraph"/>
        <w:spacing w:before="0" w:beforeAutospacing="0" w:after="0" w:afterAutospacing="0"/>
        <w:ind w:left="709"/>
        <w:textAlignment w:val="baseline"/>
        <w:rPr>
          <w:rStyle w:val="normaltextrun"/>
          <w:rFonts w:ascii="Segoe UI" w:hAnsi="Segoe UI" w:cs="Segoe UI"/>
          <w:sz w:val="21"/>
          <w:szCs w:val="21"/>
        </w:rPr>
      </w:pPr>
    </w:p>
    <w:p>
      <w:pPr>
        <w:rPr>
          <w:rFonts w:ascii="Calibri" w:hAnsi="Calibri" w:cs="Calibri"/>
          <w:iCs/>
        </w:rPr>
      </w:pPr>
      <w:r>
        <w:rPr>
          <w:iCs/>
        </w:rPr>
        <w:t xml:space="preserve">APRA AMCOS is able, on </w:t>
      </w:r>
      <w:r>
        <w:rPr>
          <w:rStyle w:val="normaltextrun"/>
        </w:rPr>
        <w:t>a temporary</w:t>
      </w:r>
      <w:r>
        <w:t>, emergency-based, non-precedential basis</w:t>
      </w:r>
      <w:r>
        <w:rPr>
          <w:iCs/>
        </w:rPr>
        <w:t>, to extend existing Dramatic Context licences granted for the works APRA AMCOS represents for the performances as specific on your contract with us to be live streamed for online access on the following conditions:</w:t>
      </w:r>
    </w:p>
    <w:p>
      <w:pPr>
        <w:numPr>
          <w:ilvl w:val="0"/>
          <w:numId w:val="10"/>
        </w:numPr>
        <w:spacing w:after="0" w:line="240" w:lineRule="auto"/>
        <w:rPr>
          <w:rFonts w:eastAsia="Times New Roman"/>
          <w:iCs/>
        </w:rPr>
      </w:pPr>
      <w:r>
        <w:rPr>
          <w:rFonts w:eastAsia="Times New Roman"/>
          <w:iCs/>
        </w:rPr>
        <w:t>The stream of the performance is only available to people who have purchased a ticket for the live performance and it is geo-blocked to Australia;</w:t>
      </w:r>
    </w:p>
    <w:p>
      <w:pPr>
        <w:numPr>
          <w:ilvl w:val="0"/>
          <w:numId w:val="10"/>
        </w:numPr>
        <w:spacing w:after="0" w:line="240" w:lineRule="auto"/>
        <w:rPr>
          <w:rFonts w:eastAsia="Times New Roman"/>
          <w:iCs/>
        </w:rPr>
      </w:pPr>
      <w:r>
        <w:rPr>
          <w:rFonts w:eastAsia="Times New Roman"/>
          <w:iCs/>
        </w:rPr>
        <w:t>Live streams of performances are only available for the same period as the originally scheduled season of the live performance;</w:t>
      </w:r>
    </w:p>
    <w:p>
      <w:pPr>
        <w:numPr>
          <w:ilvl w:val="0"/>
          <w:numId w:val="10"/>
        </w:numPr>
        <w:spacing w:after="0" w:line="240" w:lineRule="auto"/>
        <w:rPr>
          <w:rFonts w:eastAsia="Times New Roman"/>
          <w:iCs/>
        </w:rPr>
      </w:pPr>
      <w:r>
        <w:rPr>
          <w:rFonts w:eastAsia="Times New Roman"/>
          <w:iCs/>
        </w:rPr>
        <w:t>This only applies to live performances already scheduled to take place before 30 June 2020; and</w:t>
      </w:r>
    </w:p>
    <w:p>
      <w:pPr>
        <w:numPr>
          <w:ilvl w:val="0"/>
          <w:numId w:val="10"/>
        </w:numPr>
        <w:spacing w:after="0" w:line="240" w:lineRule="auto"/>
        <w:rPr>
          <w:rFonts w:eastAsia="Times New Roman"/>
          <w:iCs/>
        </w:rPr>
      </w:pPr>
      <w:r>
        <w:rPr>
          <w:rFonts w:eastAsia="Times New Roman"/>
          <w:iCs/>
        </w:rPr>
        <w:t>Licences in relation to sound recordings will need to be referred to the PPCA/labels.</w:t>
      </w:r>
    </w:p>
    <w:p>
      <w:pPr>
        <w:pStyle w:val="paragraph"/>
        <w:spacing w:before="0" w:beforeAutospacing="0" w:after="0" w:afterAutospacing="0"/>
        <w:textAlignment w:val="baseline"/>
        <w:rPr>
          <w:rStyle w:val="normaltextrun"/>
          <w:rFonts w:ascii="Segoe UI" w:hAnsi="Segoe UI" w:cs="Segoe UI"/>
          <w:sz w:val="21"/>
          <w:szCs w:val="21"/>
        </w:rPr>
      </w:pPr>
    </w:p>
    <w:p>
      <w:pPr>
        <w:rPr>
          <w:rFonts w:ascii="Segoe UI" w:eastAsia="Times New Roman" w:hAnsi="Segoe UI" w:cs="Segoe UI"/>
          <w:b/>
          <w:sz w:val="21"/>
          <w:szCs w:val="21"/>
          <w:lang w:val="en-AU" w:eastAsia="en-AU"/>
        </w:rPr>
      </w:pPr>
      <w:r>
        <w:rPr>
          <w:rStyle w:val="normaltextrun"/>
          <w:rFonts w:ascii="Segoe UI" w:hAnsi="Segoe UI" w:cs="Segoe UI"/>
          <w:b/>
          <w:sz w:val="21"/>
          <w:szCs w:val="21"/>
        </w:rPr>
        <w:t xml:space="preserve">For more information please contact </w:t>
      </w:r>
      <w:r>
        <w:rPr>
          <w:rFonts w:ascii="Segoe UI" w:eastAsia="Times New Roman" w:hAnsi="Segoe UI" w:cs="Segoe UI"/>
          <w:b/>
          <w:sz w:val="21"/>
          <w:szCs w:val="21"/>
          <w:lang w:val="en-AU" w:eastAsia="en-AU"/>
        </w:rPr>
        <w:t>theatre@onemusic.com.au</w:t>
      </w:r>
    </w:p>
    <w:p>
      <w:pPr>
        <w:pStyle w:val="paragraph"/>
        <w:spacing w:before="0" w:beforeAutospacing="0" w:after="0" w:afterAutospacing="0"/>
        <w:textAlignment w:val="baseline"/>
        <w:rPr>
          <w:rStyle w:val="normaltextrun"/>
          <w:rFonts w:ascii="Segoe UI" w:hAnsi="Segoe UI" w:cs="Segoe UI"/>
          <w:sz w:val="21"/>
          <w:szCs w:val="21"/>
          <w:u w:val="single"/>
        </w:rPr>
      </w:pPr>
    </w:p>
    <w:p>
      <w:pPr>
        <w:pStyle w:val="paragraph"/>
        <w:spacing w:before="0" w:beforeAutospacing="0" w:after="0" w:afterAutospacing="0"/>
        <w:textAlignment w:val="baseline"/>
        <w:rPr>
          <w:rStyle w:val="normaltextrun"/>
          <w:rFonts w:ascii="Segoe UI" w:hAnsi="Segoe UI" w:cs="Segoe UI"/>
          <w:sz w:val="21"/>
          <w:szCs w:val="21"/>
          <w:u w:val="single"/>
        </w:rPr>
      </w:pPr>
      <w:r>
        <w:rPr>
          <w:rStyle w:val="normaltextrun"/>
          <w:rFonts w:ascii="Segoe UI" w:hAnsi="Segoe UI" w:cs="Segoe UI"/>
          <w:sz w:val="21"/>
          <w:szCs w:val="21"/>
          <w:u w:val="single"/>
        </w:rPr>
        <w:t>Online Streams of Pre-recorded Performances</w:t>
      </w:r>
    </w:p>
    <w:p>
      <w:pPr>
        <w:pStyle w:val="paragraph"/>
        <w:spacing w:before="0" w:beforeAutospacing="0" w:after="0" w:afterAutospacing="0"/>
        <w:textAlignment w:val="baseline"/>
        <w:rPr>
          <w:rStyle w:val="normaltextrun"/>
          <w:rFonts w:ascii="Segoe UI" w:hAnsi="Segoe UI" w:cs="Segoe UI"/>
          <w:sz w:val="21"/>
          <w:szCs w:val="21"/>
        </w:rPr>
      </w:pPr>
    </w:p>
    <w:p>
      <w:pPr>
        <w:rPr>
          <w:rFonts w:ascii="Segoe UI" w:hAnsi="Segoe UI" w:cs="Segoe UI"/>
          <w:b/>
          <w:sz w:val="21"/>
          <w:szCs w:val="21"/>
        </w:rPr>
      </w:pPr>
      <w:r>
        <w:rPr>
          <w:rStyle w:val="normaltextrun"/>
          <w:rFonts w:ascii="Segoe UI" w:hAnsi="Segoe UI" w:cs="Segoe UI"/>
          <w:b/>
          <w:sz w:val="21"/>
          <w:szCs w:val="21"/>
        </w:rPr>
        <w:lastRenderedPageBreak/>
        <w:t xml:space="preserve">Please contact </w:t>
      </w:r>
      <w:r>
        <w:rPr>
          <w:rFonts w:ascii="Segoe UI" w:hAnsi="Segoe UI" w:cs="Segoe UI"/>
          <w:b/>
          <w:sz w:val="21"/>
          <w:szCs w:val="21"/>
        </w:rPr>
        <w:t>theatre@onemusic.com.au</w:t>
      </w:r>
    </w:p>
    <w:p>
      <w:pPr>
        <w:pStyle w:val="paragraph"/>
        <w:spacing w:before="0" w:beforeAutospacing="0" w:after="0" w:afterAutospacing="0"/>
        <w:textAlignment w:val="baseline"/>
        <w:rPr>
          <w:rStyle w:val="normaltextrun"/>
          <w:rFonts w:ascii="Segoe UI" w:hAnsi="Segoe UI" w:cs="Segoe UI"/>
          <w:sz w:val="21"/>
          <w:szCs w:val="21"/>
        </w:rPr>
      </w:pPr>
    </w:p>
    <w:p>
      <w:pPr>
        <w:pStyle w:val="paragraph"/>
        <w:spacing w:before="0" w:beforeAutospacing="0" w:after="0" w:afterAutospacing="0"/>
        <w:textAlignment w:val="baseline"/>
        <w:rPr>
          <w:rStyle w:val="normaltextrun"/>
          <w:rFonts w:ascii="Segoe UI" w:hAnsi="Segoe UI" w:cs="Segoe UI"/>
          <w:sz w:val="21"/>
          <w:szCs w:val="21"/>
        </w:rPr>
      </w:pPr>
    </w:p>
    <w:p>
      <w:pPr>
        <w:pStyle w:val="paragraph"/>
        <w:spacing w:before="0" w:beforeAutospacing="0" w:after="0" w:afterAutospacing="0"/>
        <w:ind w:left="709" w:hanging="425"/>
        <w:textAlignment w:val="baseline"/>
        <w:rPr>
          <w:rStyle w:val="eop"/>
          <w:rFonts w:ascii="Segoe UI" w:hAnsi="Segoe UI" w:cs="Segoe UI"/>
          <w:sz w:val="21"/>
          <w:szCs w:val="21"/>
        </w:rPr>
      </w:pPr>
      <w:r>
        <w:t> </w:t>
      </w:r>
    </w:p>
    <w:p>
      <w:pPr>
        <w:pStyle w:val="paragraph"/>
        <w:spacing w:before="0" w:beforeAutospacing="0" w:after="0" w:afterAutospacing="0"/>
        <w:ind w:left="709"/>
        <w:textAlignment w:val="baseline"/>
        <w:rPr>
          <w:rFonts w:ascii="Segoe UI" w:hAnsi="Segoe UI" w:cs="Segoe UI"/>
          <w:sz w:val="21"/>
          <w:szCs w:val="21"/>
        </w:rPr>
      </w:pPr>
      <w:r>
        <w:rPr>
          <w:rStyle w:val="eop"/>
          <w:rFonts w:ascii="Segoe UI" w:hAnsi="Segoe UI" w:cs="Segoe UI"/>
          <w:sz w:val="21"/>
          <w:szCs w:val="21"/>
        </w:rPr>
        <w:t> </w:t>
      </w:r>
    </w:p>
    <w:sectPr>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268E3"/>
    <w:multiLevelType w:val="hybridMultilevel"/>
    <w:tmpl w:val="4AA402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7DE0F46"/>
    <w:multiLevelType w:val="multilevel"/>
    <w:tmpl w:val="2D6840C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547DD6"/>
    <w:multiLevelType w:val="hybridMultilevel"/>
    <w:tmpl w:val="BC7687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4453BA"/>
    <w:multiLevelType w:val="multilevel"/>
    <w:tmpl w:val="9FF02E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0777C18"/>
    <w:multiLevelType w:val="hybridMultilevel"/>
    <w:tmpl w:val="148A6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AF03A3"/>
    <w:multiLevelType w:val="hybridMultilevel"/>
    <w:tmpl w:val="6F70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310AC"/>
    <w:multiLevelType w:val="multilevel"/>
    <w:tmpl w:val="B0EE13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D01357"/>
    <w:multiLevelType w:val="hybridMultilevel"/>
    <w:tmpl w:val="3534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270CA8"/>
    <w:multiLevelType w:val="multilevel"/>
    <w:tmpl w:val="8C2038F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E855E47"/>
    <w:multiLevelType w:val="multilevel"/>
    <w:tmpl w:val="11704094"/>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7DE91DDF"/>
    <w:multiLevelType w:val="multilevel"/>
    <w:tmpl w:val="6208622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7"/>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AA561-FA87-46F5-9ABE-A4779689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before="100" w:beforeAutospacing="1" w:after="100" w:afterAutospacing="1" w:line="240" w:lineRule="auto"/>
    </w:pPr>
    <w:rPr>
      <w:rFonts w:ascii="Calibri" w:eastAsia="Times New Roman" w:hAnsi="Calibri" w:cs="Calibri"/>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character" w:customStyle="1" w:styleId="contextualspellingandgrammarerror">
    <w:name w:val="contextualspellingandgrammarerror"/>
    <w:basedOn w:val="DefaultParagraphFont"/>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731067">
      <w:bodyDiv w:val="1"/>
      <w:marLeft w:val="0"/>
      <w:marRight w:val="0"/>
      <w:marTop w:val="0"/>
      <w:marBottom w:val="0"/>
      <w:divBdr>
        <w:top w:val="none" w:sz="0" w:space="0" w:color="auto"/>
        <w:left w:val="none" w:sz="0" w:space="0" w:color="auto"/>
        <w:bottom w:val="none" w:sz="0" w:space="0" w:color="auto"/>
        <w:right w:val="none" w:sz="0" w:space="0" w:color="auto"/>
      </w:divBdr>
      <w:divsChild>
        <w:div w:id="227767701">
          <w:marLeft w:val="0"/>
          <w:marRight w:val="0"/>
          <w:marTop w:val="0"/>
          <w:marBottom w:val="0"/>
          <w:divBdr>
            <w:top w:val="none" w:sz="0" w:space="0" w:color="auto"/>
            <w:left w:val="none" w:sz="0" w:space="0" w:color="auto"/>
            <w:bottom w:val="none" w:sz="0" w:space="0" w:color="auto"/>
            <w:right w:val="none" w:sz="0" w:space="0" w:color="auto"/>
          </w:divBdr>
        </w:div>
      </w:divsChild>
    </w:div>
    <w:div w:id="416367207">
      <w:bodyDiv w:val="1"/>
      <w:marLeft w:val="0"/>
      <w:marRight w:val="0"/>
      <w:marTop w:val="0"/>
      <w:marBottom w:val="0"/>
      <w:divBdr>
        <w:top w:val="none" w:sz="0" w:space="0" w:color="auto"/>
        <w:left w:val="none" w:sz="0" w:space="0" w:color="auto"/>
        <w:bottom w:val="none" w:sz="0" w:space="0" w:color="auto"/>
        <w:right w:val="none" w:sz="0" w:space="0" w:color="auto"/>
      </w:divBdr>
    </w:div>
    <w:div w:id="446659623">
      <w:bodyDiv w:val="1"/>
      <w:marLeft w:val="0"/>
      <w:marRight w:val="0"/>
      <w:marTop w:val="0"/>
      <w:marBottom w:val="0"/>
      <w:divBdr>
        <w:top w:val="none" w:sz="0" w:space="0" w:color="auto"/>
        <w:left w:val="none" w:sz="0" w:space="0" w:color="auto"/>
        <w:bottom w:val="none" w:sz="0" w:space="0" w:color="auto"/>
        <w:right w:val="none" w:sz="0" w:space="0" w:color="auto"/>
      </w:divBdr>
    </w:div>
    <w:div w:id="1161848719">
      <w:bodyDiv w:val="1"/>
      <w:marLeft w:val="0"/>
      <w:marRight w:val="0"/>
      <w:marTop w:val="0"/>
      <w:marBottom w:val="0"/>
      <w:divBdr>
        <w:top w:val="none" w:sz="0" w:space="0" w:color="auto"/>
        <w:left w:val="none" w:sz="0" w:space="0" w:color="auto"/>
        <w:bottom w:val="none" w:sz="0" w:space="0" w:color="auto"/>
        <w:right w:val="none" w:sz="0" w:space="0" w:color="auto"/>
      </w:divBdr>
    </w:div>
    <w:div w:id="1803694978">
      <w:bodyDiv w:val="1"/>
      <w:marLeft w:val="0"/>
      <w:marRight w:val="0"/>
      <w:marTop w:val="0"/>
      <w:marBottom w:val="0"/>
      <w:divBdr>
        <w:top w:val="none" w:sz="0" w:space="0" w:color="auto"/>
        <w:left w:val="none" w:sz="0" w:space="0" w:color="auto"/>
        <w:bottom w:val="none" w:sz="0" w:space="0" w:color="auto"/>
        <w:right w:val="none" w:sz="0" w:space="0" w:color="auto"/>
      </w:divBdr>
      <w:divsChild>
        <w:div w:id="1049575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APRA AMCOS</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Ireland</dc:creator>
  <cp:keywords/>
  <dc:description/>
  <cp:lastModifiedBy>Ant Horn</cp:lastModifiedBy>
  <cp:revision>4</cp:revision>
  <dcterms:created xsi:type="dcterms:W3CDTF">2020-03-26T21:13:00Z</dcterms:created>
  <dcterms:modified xsi:type="dcterms:W3CDTF">2020-03-26T23:39:00Z</dcterms:modified>
</cp:coreProperties>
</file>