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298D6" w14:textId="74152E16" w:rsidR="00DE7E8D" w:rsidRPr="0098271E" w:rsidRDefault="00AC6FF6">
      <w:r w:rsidRPr="0098271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51FF261E" wp14:editId="735F3718">
                <wp:simplePos x="0" y="0"/>
                <wp:positionH relativeFrom="column">
                  <wp:posOffset>-223520</wp:posOffset>
                </wp:positionH>
                <wp:positionV relativeFrom="page">
                  <wp:posOffset>347980</wp:posOffset>
                </wp:positionV>
                <wp:extent cx="3740150" cy="4603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150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ED8A8" w14:textId="5C64607D" w:rsidR="0082096B" w:rsidRPr="008625F2" w:rsidRDefault="0082096B">
                            <w:pPr>
                              <w:rPr>
                                <w:rFonts w:ascii="Calibri" w:hAnsi="Calibri" w:cs="Times New Roman"/>
                                <w:color w:val="000000" w:themeColor="text1"/>
                                <w:sz w:val="48"/>
                                <w:szCs w:val="48"/>
                                <w:lang w:val="en-US"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F261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7.6pt;margin-top:27.4pt;width:294.5pt;height:3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" filled="f" stroked="f">
                <v:textbox>
                  <w:txbxContent>
                    <w:p w14:paraId="180ED8A8" w14:textId="5C64607D" w:rsidR="0082096B" w:rsidRPr="008625F2" w:rsidRDefault="0082096B">
                      <w:pPr>
                        <w:rPr>
                          <w:rFonts w:ascii="Calibri" w:hAnsi="Calibri" w:cs="Times New Roman"/>
                          <w:color w:val="000000" w:themeColor="text1"/>
                          <w:sz w:val="48"/>
                          <w:szCs w:val="48"/>
                          <w:lang w:val="en-US" w:eastAsia="en-GB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E50122" w:rsidRPr="0098271E">
        <w:rPr>
          <w:noProof/>
          <w:lang w:eastAsia="en-AU"/>
        </w:rPr>
        <w:drawing>
          <wp:anchor distT="0" distB="0" distL="114300" distR="114300" simplePos="0" relativeHeight="251681792" behindDoc="1" locked="1" layoutInCell="1" allowOverlap="1" wp14:anchorId="5C98A799" wp14:editId="789ECD7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2000" cy="1976400"/>
            <wp:effectExtent l="0" t="0" r="1905" b="508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17846 LPA Resource Document templates- updates FA-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000" cy="19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8E28FA" w14:textId="77777777" w:rsidR="00DE7E8D" w:rsidRPr="0098271E" w:rsidRDefault="00DE7E8D"/>
    <w:p w14:paraId="2B1C0221" w14:textId="77777777" w:rsidR="00691C0C" w:rsidRPr="0098271E" w:rsidRDefault="00691C0C"/>
    <w:p w14:paraId="0A0F194E" w14:textId="509D3E55" w:rsidR="00C02EBA" w:rsidRPr="0098271E" w:rsidRDefault="00C02EBA">
      <w:pPr>
        <w:rPr>
          <w:b/>
          <w:color w:val="C02144"/>
          <w:sz w:val="40"/>
          <w:szCs w:val="40"/>
        </w:rPr>
      </w:pPr>
    </w:p>
    <w:p w14:paraId="004A6DF4" w14:textId="77777777" w:rsidR="00C02EBA" w:rsidRPr="0098271E" w:rsidRDefault="00C02EBA" w:rsidP="009E31C3">
      <w:pPr>
        <w:ind w:hanging="284"/>
        <w:rPr>
          <w:b/>
          <w:color w:val="C02144"/>
          <w:sz w:val="40"/>
          <w:szCs w:val="40"/>
        </w:rPr>
      </w:pPr>
    </w:p>
    <w:p w14:paraId="0A639E9D" w14:textId="4D6F0AC2" w:rsidR="00985C0E" w:rsidRDefault="004D47C5" w:rsidP="00A93D4D">
      <w:pPr>
        <w:pStyle w:val="LPA-MainHeading"/>
        <w:rPr>
          <w:noProof/>
          <w:lang w:eastAsia="en-AU"/>
        </w:rPr>
      </w:pPr>
      <w:r>
        <w:rPr>
          <w:noProof/>
          <w:lang w:eastAsia="en-AU"/>
        </w:rPr>
        <w:t>COVID</w:t>
      </w:r>
      <w:r w:rsidR="005639B8">
        <w:rPr>
          <w:noProof/>
          <w:lang w:eastAsia="en-AU"/>
        </w:rPr>
        <w:t>-19: Guidance on refunds and exchanges</w:t>
      </w:r>
      <w:r>
        <w:rPr>
          <w:noProof/>
          <w:lang w:eastAsia="en-AU"/>
        </w:rPr>
        <w:t xml:space="preserve"> </w:t>
      </w:r>
    </w:p>
    <w:p w14:paraId="2456B120" w14:textId="77777777" w:rsidR="005639B8" w:rsidRDefault="005639B8" w:rsidP="005639B8">
      <w:pPr>
        <w:pStyle w:val="LPA-Body"/>
        <w:rPr>
          <w:noProof/>
        </w:rPr>
      </w:pPr>
    </w:p>
    <w:p w14:paraId="07BFF2D5" w14:textId="713BA9F7" w:rsidR="003B705F" w:rsidRDefault="003B705F" w:rsidP="00201EFF">
      <w:pPr>
        <w:pStyle w:val="LPA-CopyHeading1"/>
        <w:rPr>
          <w:noProof/>
        </w:rPr>
      </w:pPr>
      <w:r>
        <w:rPr>
          <w:noProof/>
        </w:rPr>
        <w:t xml:space="preserve">Introduction </w:t>
      </w:r>
    </w:p>
    <w:p w14:paraId="7E27AF6F" w14:textId="769819FC" w:rsidR="005639B8" w:rsidRDefault="005639B8" w:rsidP="005639B8">
      <w:pPr>
        <w:pStyle w:val="LPA-Body"/>
        <w:rPr>
          <w:noProof/>
        </w:rPr>
      </w:pPr>
      <w:r>
        <w:rPr>
          <w:noProof/>
        </w:rPr>
        <w:t>In order to build trust and confidence with government and consumers that industry is acting responsibly to manage COVID-19 risks, Members are strongly encouraged to offer consumers flexibility with respect to ticket refunds and exchanges.</w:t>
      </w:r>
      <w:r w:rsidR="00C62904">
        <w:rPr>
          <w:noProof/>
        </w:rPr>
        <w:t xml:space="preserve"> </w:t>
      </w:r>
    </w:p>
    <w:p w14:paraId="426C6EE6" w14:textId="226ED891" w:rsidR="005639B8" w:rsidRDefault="005639B8" w:rsidP="005639B8">
      <w:pPr>
        <w:pStyle w:val="LPA-Body"/>
        <w:rPr>
          <w:noProof/>
        </w:rPr>
      </w:pPr>
      <w:r>
        <w:rPr>
          <w:noProof/>
        </w:rPr>
        <w:t>The current government messaging is for people to get tested and stay at home if feeling unwell. While under Australian Consumer Law, ticket holders would not be entitled to a refund if they are unable to attend an event if they are unwell (no matter the reason), COVID-19 poses significant risks to the general public. Venues and event organisers have a duty of care under WH</w:t>
      </w:r>
      <w:r w:rsidR="00AF72F0">
        <w:rPr>
          <w:noProof/>
        </w:rPr>
        <w:t xml:space="preserve">S laws to provide, as far as </w:t>
      </w:r>
      <w:r>
        <w:rPr>
          <w:noProof/>
        </w:rPr>
        <w:t>reasonably practicable, a safe environment for all.</w:t>
      </w:r>
      <w:r w:rsidR="00CC4266">
        <w:rPr>
          <w:noProof/>
        </w:rPr>
        <w:t xml:space="preserve"> </w:t>
      </w:r>
    </w:p>
    <w:p w14:paraId="5D76B2D0" w14:textId="2F0CFF9C" w:rsidR="00D84831" w:rsidRDefault="00D84831" w:rsidP="00D84831">
      <w:pPr>
        <w:pStyle w:val="LPA-Body"/>
        <w:rPr>
          <w:noProof/>
        </w:rPr>
      </w:pPr>
      <w:r>
        <w:rPr>
          <w:noProof/>
        </w:rPr>
        <w:t xml:space="preserve">As government restrictions </w:t>
      </w:r>
      <w:r w:rsidR="00383901">
        <w:rPr>
          <w:noProof/>
        </w:rPr>
        <w:t>have slowly commenced being lifted</w:t>
      </w:r>
      <w:r>
        <w:rPr>
          <w:noProof/>
        </w:rPr>
        <w:t xml:space="preserve">, this guidance aims to support the parts of the industry </w:t>
      </w:r>
      <w:r w:rsidR="00EC7D73">
        <w:rPr>
          <w:noProof/>
        </w:rPr>
        <w:t>that</w:t>
      </w:r>
      <w:r>
        <w:rPr>
          <w:noProof/>
        </w:rPr>
        <w:t xml:space="preserve"> are able to reactivate. It aims</w:t>
      </w:r>
      <w:r w:rsidR="00AF72F0">
        <w:rPr>
          <w:noProof/>
        </w:rPr>
        <w:t xml:space="preserve"> to</w:t>
      </w:r>
      <w:r>
        <w:rPr>
          <w:noProof/>
        </w:rPr>
        <w:t xml:space="preserve"> </w:t>
      </w:r>
      <w:r w:rsidR="00AF72F0">
        <w:rPr>
          <w:noProof/>
        </w:rPr>
        <w:t>provide as much consistency across the industry as possible when dealin</w:t>
      </w:r>
      <w:r w:rsidR="00E14934">
        <w:rPr>
          <w:noProof/>
        </w:rPr>
        <w:t xml:space="preserve">g with refunds and exchanges </w:t>
      </w:r>
      <w:r w:rsidR="00C62904">
        <w:rPr>
          <w:noProof/>
        </w:rPr>
        <w:t>in a</w:t>
      </w:r>
      <w:r w:rsidR="00AF72F0">
        <w:rPr>
          <w:noProof/>
        </w:rPr>
        <w:t xml:space="preserve"> COVID-19</w:t>
      </w:r>
      <w:r w:rsidR="00C62904">
        <w:rPr>
          <w:noProof/>
        </w:rPr>
        <w:t xml:space="preserve"> environment</w:t>
      </w:r>
      <w:r w:rsidR="00AF72F0">
        <w:rPr>
          <w:noProof/>
        </w:rPr>
        <w:t>. However, LP</w:t>
      </w:r>
      <w:r w:rsidR="00EC7D73">
        <w:rPr>
          <w:noProof/>
        </w:rPr>
        <w:t>A acknowledges that each organis</w:t>
      </w:r>
      <w:r w:rsidR="00AF72F0">
        <w:rPr>
          <w:noProof/>
        </w:rPr>
        <w:t xml:space="preserve">ation will </w:t>
      </w:r>
      <w:r>
        <w:rPr>
          <w:noProof/>
        </w:rPr>
        <w:t>develop</w:t>
      </w:r>
      <w:r w:rsidR="00AF72F0">
        <w:rPr>
          <w:noProof/>
        </w:rPr>
        <w:t xml:space="preserve"> its own refunds and exchanges policy that is appropriate for its </w:t>
      </w:r>
      <w:r w:rsidR="00E14934">
        <w:rPr>
          <w:noProof/>
        </w:rPr>
        <w:t xml:space="preserve">specific </w:t>
      </w:r>
      <w:r w:rsidR="00AF72F0">
        <w:rPr>
          <w:noProof/>
        </w:rPr>
        <w:t xml:space="preserve">context. </w:t>
      </w:r>
    </w:p>
    <w:p w14:paraId="0CEE82CC" w14:textId="2DB6CC7A" w:rsidR="00C62904" w:rsidRPr="00C62904" w:rsidRDefault="00C62904" w:rsidP="00201EFF">
      <w:pPr>
        <w:pStyle w:val="LPA-CopyHeading1"/>
        <w:rPr>
          <w:noProof/>
        </w:rPr>
      </w:pPr>
      <w:r w:rsidRPr="00C62904">
        <w:rPr>
          <w:noProof/>
        </w:rPr>
        <w:t>Guiding principles</w:t>
      </w:r>
    </w:p>
    <w:p w14:paraId="351C7818" w14:textId="71D62AE1" w:rsidR="00C62904" w:rsidRDefault="009A283E" w:rsidP="00E83067">
      <w:pPr>
        <w:pStyle w:val="LPA-Body"/>
        <w:rPr>
          <w:noProof/>
        </w:rPr>
      </w:pPr>
      <w:r>
        <w:rPr>
          <w:noProof/>
        </w:rPr>
        <w:t>This guidance has been developed with the following principles in mind:</w:t>
      </w:r>
    </w:p>
    <w:p w14:paraId="5426AD33" w14:textId="67600A95" w:rsidR="006431D8" w:rsidRDefault="0058134B" w:rsidP="009A283E">
      <w:pPr>
        <w:pStyle w:val="LPA-Numberedlist2"/>
        <w:rPr>
          <w:noProof/>
        </w:rPr>
      </w:pPr>
      <w:r w:rsidRPr="00383901">
        <w:rPr>
          <w:b/>
          <w:noProof/>
        </w:rPr>
        <w:t>Safety</w:t>
      </w:r>
      <w:r w:rsidR="00383901" w:rsidRPr="00383901">
        <w:rPr>
          <w:b/>
          <w:noProof/>
        </w:rPr>
        <w:t xml:space="preserve"> first</w:t>
      </w:r>
      <w:r w:rsidRPr="00383901">
        <w:rPr>
          <w:b/>
          <w:noProof/>
        </w:rPr>
        <w:t>:</w:t>
      </w:r>
      <w:r>
        <w:rPr>
          <w:noProof/>
        </w:rPr>
        <w:t xml:space="preserve"> </w:t>
      </w:r>
      <w:r w:rsidR="00383901">
        <w:rPr>
          <w:noProof/>
        </w:rPr>
        <w:t>Events are COVID safe for all workers and audiences</w:t>
      </w:r>
      <w:r w:rsidR="00A218C2">
        <w:rPr>
          <w:noProof/>
        </w:rPr>
        <w:t xml:space="preserve"> and </w:t>
      </w:r>
      <w:r w:rsidR="00EC7D73">
        <w:rPr>
          <w:noProof/>
        </w:rPr>
        <w:t>mitigate</w:t>
      </w:r>
      <w:r w:rsidR="00FA0A05">
        <w:rPr>
          <w:noProof/>
        </w:rPr>
        <w:t xml:space="preserve"> risks </w:t>
      </w:r>
      <w:r w:rsidR="00EC7D73">
        <w:rPr>
          <w:noProof/>
        </w:rPr>
        <w:t xml:space="preserve">of community transmission </w:t>
      </w:r>
      <w:r w:rsidR="00FA0A05">
        <w:rPr>
          <w:noProof/>
        </w:rPr>
        <w:t>to the general public</w:t>
      </w:r>
      <w:r w:rsidR="00383901">
        <w:rPr>
          <w:noProof/>
        </w:rPr>
        <w:t xml:space="preserve">. </w:t>
      </w:r>
    </w:p>
    <w:p w14:paraId="6BB4FB67" w14:textId="62D11795" w:rsidR="006431D8" w:rsidRDefault="006431D8" w:rsidP="006431D8">
      <w:pPr>
        <w:pStyle w:val="LPA-Numberedlist2"/>
        <w:rPr>
          <w:noProof/>
        </w:rPr>
      </w:pPr>
      <w:r w:rsidRPr="009A283E">
        <w:rPr>
          <w:b/>
          <w:noProof/>
        </w:rPr>
        <w:t>Two-way trust:</w:t>
      </w:r>
      <w:r>
        <w:rPr>
          <w:noProof/>
        </w:rPr>
        <w:t xml:space="preserve"> </w:t>
      </w:r>
      <w:r w:rsidR="00F75278">
        <w:rPr>
          <w:noProof/>
        </w:rPr>
        <w:t>The i</w:t>
      </w:r>
      <w:r>
        <w:rPr>
          <w:noProof/>
        </w:rPr>
        <w:t>ndustry can trust consumers to stay home if unwell with COVID-19 symptoms</w:t>
      </w:r>
      <w:r w:rsidRPr="003B705F">
        <w:rPr>
          <w:noProof/>
        </w:rPr>
        <w:t xml:space="preserve"> </w:t>
      </w:r>
      <w:r>
        <w:rPr>
          <w:noProof/>
        </w:rPr>
        <w:t xml:space="preserve">and consumers can trust </w:t>
      </w:r>
      <w:r w:rsidR="00F75278">
        <w:rPr>
          <w:noProof/>
        </w:rPr>
        <w:t xml:space="preserve">the </w:t>
      </w:r>
      <w:r>
        <w:rPr>
          <w:noProof/>
        </w:rPr>
        <w:t xml:space="preserve">industry to treat them fairly. </w:t>
      </w:r>
    </w:p>
    <w:p w14:paraId="4DA362E2" w14:textId="54C6D941" w:rsidR="0058134B" w:rsidRDefault="00F75278" w:rsidP="009A283E">
      <w:pPr>
        <w:pStyle w:val="LPA-Numberedlist2"/>
        <w:rPr>
          <w:noProof/>
        </w:rPr>
      </w:pPr>
      <w:r>
        <w:rPr>
          <w:b/>
          <w:noProof/>
        </w:rPr>
        <w:t>Positively i</w:t>
      </w:r>
      <w:r w:rsidR="006431D8">
        <w:rPr>
          <w:b/>
          <w:noProof/>
        </w:rPr>
        <w:t xml:space="preserve">nfluence </w:t>
      </w:r>
      <w:r>
        <w:rPr>
          <w:b/>
          <w:noProof/>
        </w:rPr>
        <w:t>consumer behaviour</w:t>
      </w:r>
      <w:r w:rsidR="006431D8">
        <w:rPr>
          <w:b/>
          <w:noProof/>
        </w:rPr>
        <w:t>:</w:t>
      </w:r>
      <w:r w:rsidR="006431D8">
        <w:rPr>
          <w:noProof/>
        </w:rPr>
        <w:t xml:space="preserve"> Refund/exchange policies </w:t>
      </w:r>
      <w:r w:rsidR="006431D8" w:rsidRPr="00383901">
        <w:rPr>
          <w:noProof/>
        </w:rPr>
        <w:t>need to</w:t>
      </w:r>
      <w:r>
        <w:rPr>
          <w:noProof/>
        </w:rPr>
        <w:t xml:space="preserve"> positively </w:t>
      </w:r>
      <w:r w:rsidR="006431D8" w:rsidRPr="00383901">
        <w:rPr>
          <w:noProof/>
        </w:rPr>
        <w:t>influence</w:t>
      </w:r>
      <w:r>
        <w:rPr>
          <w:noProof/>
        </w:rPr>
        <w:t xml:space="preserve"> consumer behaviour</w:t>
      </w:r>
      <w:r w:rsidRPr="00383901">
        <w:rPr>
          <w:noProof/>
        </w:rPr>
        <w:t xml:space="preserve"> (i</w:t>
      </w:r>
      <w:r>
        <w:rPr>
          <w:noProof/>
        </w:rPr>
        <w:t>.</w:t>
      </w:r>
      <w:r w:rsidRPr="00383901">
        <w:rPr>
          <w:noProof/>
        </w:rPr>
        <w:t>e</w:t>
      </w:r>
      <w:r>
        <w:rPr>
          <w:b/>
          <w:noProof/>
        </w:rPr>
        <w:t>.</w:t>
      </w:r>
      <w:r>
        <w:rPr>
          <w:noProof/>
        </w:rPr>
        <w:t xml:space="preserve"> stay home if unwell</w:t>
      </w:r>
      <w:r w:rsidRPr="006431D8">
        <w:rPr>
          <w:noProof/>
        </w:rPr>
        <w:t>)</w:t>
      </w:r>
      <w:r>
        <w:rPr>
          <w:noProof/>
        </w:rPr>
        <w:t xml:space="preserve"> </w:t>
      </w:r>
      <w:r w:rsidR="00EC7D73" w:rsidRPr="006431D8">
        <w:rPr>
          <w:noProof/>
        </w:rPr>
        <w:t>and not inclu</w:t>
      </w:r>
      <w:r>
        <w:rPr>
          <w:noProof/>
        </w:rPr>
        <w:t>de unnecessary requirements that serve as a</w:t>
      </w:r>
      <w:r w:rsidR="00EC7D73" w:rsidRPr="006431D8">
        <w:rPr>
          <w:noProof/>
        </w:rPr>
        <w:t xml:space="preserve"> </w:t>
      </w:r>
      <w:r>
        <w:rPr>
          <w:noProof/>
        </w:rPr>
        <w:t>disincentive</w:t>
      </w:r>
      <w:r w:rsidR="00EC7D73">
        <w:rPr>
          <w:noProof/>
        </w:rPr>
        <w:t>.</w:t>
      </w:r>
      <w:r w:rsidR="006431D8" w:rsidRPr="006431D8">
        <w:rPr>
          <w:noProof/>
        </w:rPr>
        <w:t xml:space="preserve"> </w:t>
      </w:r>
    </w:p>
    <w:p w14:paraId="191D830D" w14:textId="208DC297" w:rsidR="006431D8" w:rsidRPr="0058134B" w:rsidRDefault="00F75278" w:rsidP="009A283E">
      <w:pPr>
        <w:pStyle w:val="LPA-Numberedlist2"/>
        <w:rPr>
          <w:noProof/>
        </w:rPr>
      </w:pPr>
      <w:r>
        <w:rPr>
          <w:b/>
          <w:noProof/>
        </w:rPr>
        <w:t>Supporting i</w:t>
      </w:r>
      <w:r w:rsidR="00FA0A05" w:rsidRPr="00FA0A05">
        <w:rPr>
          <w:b/>
          <w:noProof/>
        </w:rPr>
        <w:t xml:space="preserve">ndustry </w:t>
      </w:r>
      <w:r w:rsidR="006431D8" w:rsidRPr="00FA0A05">
        <w:rPr>
          <w:b/>
          <w:noProof/>
        </w:rPr>
        <w:t>s</w:t>
      </w:r>
      <w:r>
        <w:rPr>
          <w:b/>
          <w:noProof/>
        </w:rPr>
        <w:t>ustainability</w:t>
      </w:r>
      <w:r w:rsidR="006431D8" w:rsidRPr="00FA0A05">
        <w:rPr>
          <w:b/>
          <w:noProof/>
        </w:rPr>
        <w:t>:</w:t>
      </w:r>
      <w:r w:rsidR="006431D8">
        <w:rPr>
          <w:noProof/>
        </w:rPr>
        <w:t xml:space="preserve"> </w:t>
      </w:r>
      <w:r w:rsidR="00FA0A05">
        <w:rPr>
          <w:noProof/>
        </w:rPr>
        <w:t xml:space="preserve">Refund/exchange policies enable </w:t>
      </w:r>
      <w:r w:rsidR="00966DAF">
        <w:rPr>
          <w:noProof/>
        </w:rPr>
        <w:t xml:space="preserve">the </w:t>
      </w:r>
      <w:r w:rsidR="00FA0A05">
        <w:rPr>
          <w:noProof/>
        </w:rPr>
        <w:t>industry to retain ticket proceeds, wherever possible.</w:t>
      </w:r>
    </w:p>
    <w:p w14:paraId="5F1F3286" w14:textId="6E402F72" w:rsidR="009A283E" w:rsidRDefault="0058134B" w:rsidP="009A283E">
      <w:pPr>
        <w:pStyle w:val="LPA-Numberedlist2"/>
        <w:rPr>
          <w:noProof/>
        </w:rPr>
      </w:pPr>
      <w:r w:rsidRPr="0058134B">
        <w:rPr>
          <w:b/>
          <w:noProof/>
        </w:rPr>
        <w:t>Evolving:</w:t>
      </w:r>
      <w:r>
        <w:rPr>
          <w:noProof/>
        </w:rPr>
        <w:t xml:space="preserve"> </w:t>
      </w:r>
      <w:r w:rsidR="00383901">
        <w:rPr>
          <w:noProof/>
        </w:rPr>
        <w:t>T</w:t>
      </w:r>
      <w:r>
        <w:rPr>
          <w:noProof/>
        </w:rPr>
        <w:t xml:space="preserve">his guidance will </w:t>
      </w:r>
      <w:r w:rsidR="003B705F">
        <w:rPr>
          <w:noProof/>
        </w:rPr>
        <w:t>be reviewed and may evolve as a larger portion of the industry reactivates when government directions permit.</w:t>
      </w:r>
      <w:r w:rsidR="003B705F">
        <w:rPr>
          <w:noProof/>
        </w:rPr>
        <w:br/>
      </w:r>
    </w:p>
    <w:p w14:paraId="344ADC30" w14:textId="77777777" w:rsidR="00FA0A05" w:rsidRDefault="00FA0A05" w:rsidP="00FA0A05">
      <w:pPr>
        <w:pStyle w:val="LPA-Numberedlist2"/>
        <w:numPr>
          <w:ilvl w:val="0"/>
          <w:numId w:val="0"/>
        </w:numPr>
        <w:ind w:left="425" w:hanging="312"/>
        <w:rPr>
          <w:noProof/>
        </w:rPr>
      </w:pPr>
    </w:p>
    <w:p w14:paraId="36EDEF1C" w14:textId="77777777" w:rsidR="00FA0A05" w:rsidRDefault="00FA0A05" w:rsidP="00FA0A05">
      <w:pPr>
        <w:pStyle w:val="LPA-Numberedlist2"/>
        <w:numPr>
          <w:ilvl w:val="0"/>
          <w:numId w:val="0"/>
        </w:numPr>
        <w:ind w:left="425" w:hanging="312"/>
        <w:rPr>
          <w:noProof/>
        </w:rPr>
      </w:pPr>
    </w:p>
    <w:p w14:paraId="620F52BE" w14:textId="00E61ED1" w:rsidR="009A283E" w:rsidRDefault="009A283E" w:rsidP="00201EFF">
      <w:pPr>
        <w:pStyle w:val="LPA-CopyHeading1"/>
        <w:rPr>
          <w:noProof/>
        </w:rPr>
      </w:pPr>
      <w:r>
        <w:rPr>
          <w:noProof/>
        </w:rPr>
        <w:lastRenderedPageBreak/>
        <w:t>Guidance</w:t>
      </w:r>
    </w:p>
    <w:p w14:paraId="55FF11BE" w14:textId="4EF94C0B" w:rsidR="00FA0A05" w:rsidRDefault="00FA0A05" w:rsidP="00FA0A05">
      <w:pPr>
        <w:pStyle w:val="LPA-BodyBold"/>
        <w:rPr>
          <w:noProof/>
        </w:rPr>
      </w:pPr>
      <w:r>
        <w:rPr>
          <w:noProof/>
        </w:rPr>
        <w:t>Terminology</w:t>
      </w:r>
    </w:p>
    <w:p w14:paraId="1556964F" w14:textId="69034A9D" w:rsidR="005639B8" w:rsidRDefault="005639B8" w:rsidP="009A283E">
      <w:pPr>
        <w:pStyle w:val="LPA-Numberedlist"/>
        <w:rPr>
          <w:noProof/>
        </w:rPr>
      </w:pPr>
      <w:r>
        <w:rPr>
          <w:noProof/>
        </w:rPr>
        <w:t xml:space="preserve">In this guidance, the term 'remedy' refers to </w:t>
      </w:r>
      <w:r w:rsidRPr="00CC4266">
        <w:rPr>
          <w:b/>
          <w:noProof/>
        </w:rPr>
        <w:t>at least one</w:t>
      </w:r>
      <w:r>
        <w:rPr>
          <w:noProof/>
        </w:rPr>
        <w:t xml:space="preserve"> of the following:</w:t>
      </w:r>
    </w:p>
    <w:p w14:paraId="35D10DCC" w14:textId="44AF560F" w:rsidR="005639B8" w:rsidRDefault="005639B8" w:rsidP="005F3DB3">
      <w:pPr>
        <w:pStyle w:val="LPA-Bullets1"/>
        <w:rPr>
          <w:noProof/>
        </w:rPr>
      </w:pPr>
      <w:r w:rsidRPr="005F3DB3">
        <w:rPr>
          <w:b/>
          <w:noProof/>
        </w:rPr>
        <w:t>exchange</w:t>
      </w:r>
      <w:r>
        <w:rPr>
          <w:noProof/>
        </w:rPr>
        <w:t xml:space="preserve"> - </w:t>
      </w:r>
      <w:r w:rsidR="006937E0">
        <w:rPr>
          <w:noProof/>
        </w:rPr>
        <w:t>a</w:t>
      </w:r>
      <w:r>
        <w:rPr>
          <w:noProof/>
        </w:rPr>
        <w:t xml:space="preserve"> ticket is exchanged for the same production on a different date, or to a different production. This remedy may be more appropriate for productions running for several weeks/months, </w:t>
      </w:r>
      <w:r w:rsidR="00891A66">
        <w:rPr>
          <w:noProof/>
        </w:rPr>
        <w:t>or for productions with new</w:t>
      </w:r>
      <w:r w:rsidR="001730F8">
        <w:rPr>
          <w:noProof/>
        </w:rPr>
        <w:t xml:space="preserve"> or planned</w:t>
      </w:r>
      <w:r w:rsidR="00891A66">
        <w:rPr>
          <w:noProof/>
        </w:rPr>
        <w:t xml:space="preserve"> dates in the future, </w:t>
      </w:r>
      <w:r>
        <w:rPr>
          <w:noProof/>
        </w:rPr>
        <w:t>or companies that program multiple productions within a season/year</w:t>
      </w:r>
      <w:r w:rsidRPr="00891A66">
        <w:rPr>
          <w:noProof/>
        </w:rPr>
        <w:t>.</w:t>
      </w:r>
      <w:r>
        <w:rPr>
          <w:noProof/>
        </w:rPr>
        <w:t xml:space="preserve"> </w:t>
      </w:r>
    </w:p>
    <w:p w14:paraId="300B0E52" w14:textId="7CD62142" w:rsidR="005639B8" w:rsidRPr="0030494F" w:rsidRDefault="0062465B" w:rsidP="007F3303">
      <w:pPr>
        <w:pStyle w:val="LPA-Bullets1"/>
        <w:rPr>
          <w:noProof/>
        </w:rPr>
      </w:pPr>
      <w:r w:rsidRPr="005639B8">
        <w:rPr>
          <w:b/>
          <w:noProof/>
        </w:rPr>
        <w:t>C</w:t>
      </w:r>
      <w:r w:rsidR="005639B8" w:rsidRPr="005639B8">
        <w:rPr>
          <w:b/>
          <w:noProof/>
        </w:rPr>
        <w:t>redit</w:t>
      </w:r>
      <w:r>
        <w:rPr>
          <w:b/>
          <w:noProof/>
        </w:rPr>
        <w:t xml:space="preserve"> note</w:t>
      </w:r>
      <w:r w:rsidR="005639B8" w:rsidRPr="005639B8">
        <w:rPr>
          <w:b/>
          <w:noProof/>
        </w:rPr>
        <w:t>/voucher</w:t>
      </w:r>
      <w:r w:rsidR="005639B8">
        <w:rPr>
          <w:noProof/>
        </w:rPr>
        <w:t xml:space="preserve"> - the price paid for the </w:t>
      </w:r>
      <w:r w:rsidR="005639B8" w:rsidRPr="0030494F">
        <w:rPr>
          <w:noProof/>
        </w:rPr>
        <w:t>ticket is held in credit against the customer's account or is transferred to a voucher for use towards tickets to another production</w:t>
      </w:r>
      <w:r w:rsidR="001C6CF4" w:rsidRPr="0030494F">
        <w:rPr>
          <w:noProof/>
        </w:rPr>
        <w:t xml:space="preserve"> by the same presenter</w:t>
      </w:r>
      <w:r w:rsidR="005639B8" w:rsidRPr="0030494F">
        <w:rPr>
          <w:noProof/>
        </w:rPr>
        <w:t xml:space="preserve">. </w:t>
      </w:r>
      <w:r w:rsidR="008D7EDB">
        <w:rPr>
          <w:noProof/>
        </w:rPr>
        <w:t>A credit</w:t>
      </w:r>
      <w:r w:rsidR="00FA7966">
        <w:rPr>
          <w:noProof/>
        </w:rPr>
        <w:t xml:space="preserve"> note</w:t>
      </w:r>
      <w:r w:rsidR="008D7EDB">
        <w:rPr>
          <w:noProof/>
        </w:rPr>
        <w:t>/</w:t>
      </w:r>
      <w:r w:rsidR="008D7EDB" w:rsidRPr="00AD3E61">
        <w:rPr>
          <w:noProof/>
        </w:rPr>
        <w:t xml:space="preserve">voucher </w:t>
      </w:r>
      <w:r w:rsidR="008D7EDB" w:rsidRPr="00FA7966">
        <w:rPr>
          <w:noProof/>
        </w:rPr>
        <w:t xml:space="preserve">should only be offered if the Presenter has </w:t>
      </w:r>
      <w:r w:rsidRPr="00FA7966">
        <w:rPr>
          <w:noProof/>
        </w:rPr>
        <w:t xml:space="preserve">sufficient </w:t>
      </w:r>
      <w:r w:rsidR="008D7EDB" w:rsidRPr="00FA7966">
        <w:rPr>
          <w:noProof/>
        </w:rPr>
        <w:t>product</w:t>
      </w:r>
      <w:r w:rsidRPr="00FA7966">
        <w:rPr>
          <w:noProof/>
        </w:rPr>
        <w:t>ions</w:t>
      </w:r>
      <w:r w:rsidR="008D7EDB" w:rsidRPr="00FA7966">
        <w:rPr>
          <w:noProof/>
        </w:rPr>
        <w:t xml:space="preserve"> available in the foreseeable future</w:t>
      </w:r>
      <w:r w:rsidR="008D7EDB">
        <w:rPr>
          <w:noProof/>
        </w:rPr>
        <w:t xml:space="preserve"> and </w:t>
      </w:r>
      <w:r w:rsidR="007F3303" w:rsidRPr="007F3303">
        <w:rPr>
          <w:noProof/>
        </w:rPr>
        <w:t>should</w:t>
      </w:r>
      <w:r w:rsidR="007F3303">
        <w:rPr>
          <w:noProof/>
        </w:rPr>
        <w:t xml:space="preserve"> include an expiry that provides the customer with a reasonable timeframe </w:t>
      </w:r>
      <w:r w:rsidR="007F3303" w:rsidRPr="007F3303">
        <w:rPr>
          <w:noProof/>
        </w:rPr>
        <w:t>to use the credit</w:t>
      </w:r>
      <w:r w:rsidR="00FA7966">
        <w:rPr>
          <w:noProof/>
        </w:rPr>
        <w:t xml:space="preserve"> note</w:t>
      </w:r>
      <w:r w:rsidR="007F3303">
        <w:rPr>
          <w:noProof/>
        </w:rPr>
        <w:t xml:space="preserve">/voucher. </w:t>
      </w:r>
      <w:r w:rsidR="005639B8" w:rsidRPr="0030494F">
        <w:rPr>
          <w:noProof/>
        </w:rPr>
        <w:t>This remedy may be more appropriate for companies that self-ticket, and may not be appropriate where the venue/ticketing company is acting as an agent.</w:t>
      </w:r>
    </w:p>
    <w:p w14:paraId="33313702" w14:textId="0E23F223" w:rsidR="005639B8" w:rsidRPr="00CC4266" w:rsidRDefault="005639B8" w:rsidP="007F3303">
      <w:pPr>
        <w:pStyle w:val="LPA-Bullets1"/>
        <w:rPr>
          <w:noProof/>
        </w:rPr>
      </w:pPr>
      <w:r w:rsidRPr="0030494F">
        <w:rPr>
          <w:b/>
          <w:noProof/>
        </w:rPr>
        <w:t>refund</w:t>
      </w:r>
      <w:r w:rsidRPr="0030494F">
        <w:rPr>
          <w:noProof/>
        </w:rPr>
        <w:t xml:space="preserve"> - the price paid for the ticket</w:t>
      </w:r>
      <w:r w:rsidR="00B378F6">
        <w:rPr>
          <w:noProof/>
        </w:rPr>
        <w:t xml:space="preserve"> </w:t>
      </w:r>
      <w:r>
        <w:rPr>
          <w:noProof/>
        </w:rPr>
        <w:t>is re</w:t>
      </w:r>
      <w:r w:rsidR="00CC4266">
        <w:rPr>
          <w:noProof/>
        </w:rPr>
        <w:t>turned to the ticket purchaser.</w:t>
      </w:r>
      <w:r w:rsidR="005F3DB3">
        <w:rPr>
          <w:noProof/>
        </w:rPr>
        <w:t xml:space="preserve"> </w:t>
      </w:r>
    </w:p>
    <w:p w14:paraId="6E572979" w14:textId="20DEFA6C" w:rsidR="00FA0A05" w:rsidRDefault="00FA0A05" w:rsidP="00FA0A05">
      <w:pPr>
        <w:pStyle w:val="LPA-BodyBold"/>
        <w:rPr>
          <w:noProof/>
        </w:rPr>
      </w:pPr>
      <w:r>
        <w:rPr>
          <w:noProof/>
        </w:rPr>
        <w:t xml:space="preserve">Consistency </w:t>
      </w:r>
    </w:p>
    <w:p w14:paraId="2874B931" w14:textId="12857557" w:rsidR="00B378F6" w:rsidRDefault="00B378F6" w:rsidP="009A283E">
      <w:pPr>
        <w:pStyle w:val="LPA-Numberedlist"/>
        <w:rPr>
          <w:noProof/>
        </w:rPr>
      </w:pPr>
      <w:r>
        <w:rPr>
          <w:noProof/>
        </w:rPr>
        <w:t xml:space="preserve">Venues/ticketing agents and presenters </w:t>
      </w:r>
      <w:r w:rsidR="00FA7966">
        <w:rPr>
          <w:noProof/>
        </w:rPr>
        <w:t xml:space="preserve">for a production </w:t>
      </w:r>
      <w:r>
        <w:rPr>
          <w:noProof/>
        </w:rPr>
        <w:t>should discuss their</w:t>
      </w:r>
      <w:r w:rsidR="001C6CF4">
        <w:rPr>
          <w:noProof/>
        </w:rPr>
        <w:t xml:space="preserve"> COVID-19 r</w:t>
      </w:r>
      <w:r w:rsidR="00C62904">
        <w:rPr>
          <w:noProof/>
        </w:rPr>
        <w:t xml:space="preserve">efunds and </w:t>
      </w:r>
      <w:r w:rsidR="001C6CF4">
        <w:rPr>
          <w:noProof/>
        </w:rPr>
        <w:t>exchange</w:t>
      </w:r>
      <w:r w:rsidR="00C62904">
        <w:rPr>
          <w:noProof/>
        </w:rPr>
        <w:t>s</w:t>
      </w:r>
      <w:r w:rsidR="001C6CF4">
        <w:rPr>
          <w:noProof/>
        </w:rPr>
        <w:t xml:space="preserve"> policy</w:t>
      </w:r>
      <w:r w:rsidR="00FA7966">
        <w:rPr>
          <w:noProof/>
        </w:rPr>
        <w:t xml:space="preserve"> for consistency</w:t>
      </w:r>
      <w:r w:rsidR="00C62904">
        <w:rPr>
          <w:noProof/>
        </w:rPr>
        <w:t>.</w:t>
      </w:r>
      <w:r w:rsidR="001C6CF4">
        <w:rPr>
          <w:noProof/>
        </w:rPr>
        <w:t xml:space="preserve"> </w:t>
      </w:r>
    </w:p>
    <w:p w14:paraId="2E517F8E" w14:textId="42F986BB" w:rsidR="00FA7966" w:rsidRPr="00684326" w:rsidRDefault="00684326" w:rsidP="00FA7966">
      <w:pPr>
        <w:pStyle w:val="LPA-Numberedlist"/>
        <w:rPr>
          <w:noProof/>
        </w:rPr>
      </w:pPr>
      <w:r w:rsidRPr="00684326">
        <w:rPr>
          <w:noProof/>
        </w:rPr>
        <w:t>If</w:t>
      </w:r>
      <w:r w:rsidR="00B378F6" w:rsidRPr="00684326">
        <w:rPr>
          <w:noProof/>
        </w:rPr>
        <w:t xml:space="preserve"> possibl</w:t>
      </w:r>
      <w:r w:rsidR="00AF72F0" w:rsidRPr="00684326">
        <w:rPr>
          <w:noProof/>
        </w:rPr>
        <w:t>e,</w:t>
      </w:r>
      <w:r w:rsidRPr="00684326">
        <w:rPr>
          <w:noProof/>
        </w:rPr>
        <w:t xml:space="preserve"> there should be</w:t>
      </w:r>
      <w:r w:rsidR="00FA7966" w:rsidRPr="00684326">
        <w:rPr>
          <w:noProof/>
        </w:rPr>
        <w:t xml:space="preserve"> a consistent COVID-19 refunds and exchanges policy for all performances in each venue.</w:t>
      </w:r>
      <w:r w:rsidR="00FA7966" w:rsidRPr="00684326">
        <w:rPr>
          <w:noProof/>
        </w:rPr>
        <w:t xml:space="preserve"> </w:t>
      </w:r>
    </w:p>
    <w:p w14:paraId="4CE72979" w14:textId="34514C4B" w:rsidR="00FA0A05" w:rsidRDefault="00FA0A05" w:rsidP="00FA0A05">
      <w:pPr>
        <w:pStyle w:val="LPA-BodyBold"/>
        <w:rPr>
          <w:noProof/>
        </w:rPr>
      </w:pPr>
      <w:r>
        <w:rPr>
          <w:noProof/>
        </w:rPr>
        <w:t xml:space="preserve">Circumstances for remedies </w:t>
      </w:r>
    </w:p>
    <w:p w14:paraId="07296806" w14:textId="0E47F777" w:rsidR="009051DE" w:rsidRDefault="005639B8" w:rsidP="009A283E">
      <w:pPr>
        <w:pStyle w:val="LPA-Numberedlist"/>
        <w:rPr>
          <w:noProof/>
        </w:rPr>
      </w:pPr>
      <w:r>
        <w:rPr>
          <w:noProof/>
        </w:rPr>
        <w:t xml:space="preserve">Members should encourage ticket holders who are feeling unwell with COVID-19 symptoms to notify the venue/ticketing company as soon as possible. Members should </w:t>
      </w:r>
      <w:r w:rsidRPr="00EC7D73">
        <w:rPr>
          <w:noProof/>
        </w:rPr>
        <w:t>consider offering</w:t>
      </w:r>
      <w:r>
        <w:rPr>
          <w:noProof/>
        </w:rPr>
        <w:t xml:space="preserve"> these ticket holders a remedy</w:t>
      </w:r>
      <w:r w:rsidR="009051DE">
        <w:rPr>
          <w:noProof/>
        </w:rPr>
        <w:t>.</w:t>
      </w:r>
      <w:r w:rsidR="00AF72F0">
        <w:rPr>
          <w:noProof/>
        </w:rPr>
        <w:t xml:space="preserve"> </w:t>
      </w:r>
    </w:p>
    <w:p w14:paraId="7B40C468" w14:textId="52236837" w:rsidR="009051DE" w:rsidRDefault="009051DE" w:rsidP="007F3303">
      <w:pPr>
        <w:pStyle w:val="LPA-Bullets1"/>
        <w:rPr>
          <w:noProof/>
        </w:rPr>
      </w:pPr>
      <w:r>
        <w:rPr>
          <w:noProof/>
        </w:rPr>
        <w:t>Members</w:t>
      </w:r>
      <w:r w:rsidR="00AF72F0">
        <w:rPr>
          <w:noProof/>
        </w:rPr>
        <w:t xml:space="preserve"> may wish to provide a timeframe </w:t>
      </w:r>
      <w:r>
        <w:rPr>
          <w:noProof/>
        </w:rPr>
        <w:t xml:space="preserve">(e.g. up to </w:t>
      </w:r>
      <w:r w:rsidR="00306DFC">
        <w:rPr>
          <w:noProof/>
        </w:rPr>
        <w:t>X</w:t>
      </w:r>
      <w:r>
        <w:rPr>
          <w:noProof/>
        </w:rPr>
        <w:t xml:space="preserve"> hours prior to the event) </w:t>
      </w:r>
      <w:r w:rsidR="00AF72F0">
        <w:rPr>
          <w:noProof/>
        </w:rPr>
        <w:t>for accepting remedy requests</w:t>
      </w:r>
      <w:r w:rsidR="005639B8">
        <w:rPr>
          <w:noProof/>
        </w:rPr>
        <w:t xml:space="preserve">. </w:t>
      </w:r>
    </w:p>
    <w:p w14:paraId="53FD4217" w14:textId="0C73450C" w:rsidR="00140C0B" w:rsidRDefault="006937E0" w:rsidP="007F3303">
      <w:pPr>
        <w:pStyle w:val="LPA-Bullets1"/>
        <w:rPr>
          <w:noProof/>
        </w:rPr>
      </w:pPr>
      <w:r w:rsidRPr="006937E0">
        <w:rPr>
          <w:noProof/>
        </w:rPr>
        <w:t xml:space="preserve">Members may </w:t>
      </w:r>
      <w:r w:rsidR="00966DAF">
        <w:rPr>
          <w:noProof/>
        </w:rPr>
        <w:t>require</w:t>
      </w:r>
      <w:r w:rsidRPr="006937E0">
        <w:rPr>
          <w:noProof/>
        </w:rPr>
        <w:t xml:space="preserve"> ticket holders to </w:t>
      </w:r>
      <w:r>
        <w:rPr>
          <w:noProof/>
        </w:rPr>
        <w:t xml:space="preserve">provide their request for a remedy in writing </w:t>
      </w:r>
      <w:r w:rsidR="009051DE">
        <w:rPr>
          <w:noProof/>
        </w:rPr>
        <w:t>prior to the event</w:t>
      </w:r>
      <w:r w:rsidR="0030494F">
        <w:rPr>
          <w:noProof/>
        </w:rPr>
        <w:t>.</w:t>
      </w:r>
      <w:r w:rsidR="009051DE">
        <w:rPr>
          <w:noProof/>
        </w:rPr>
        <w:t xml:space="preserve"> </w:t>
      </w:r>
    </w:p>
    <w:p w14:paraId="02180BB1" w14:textId="1D37A9D0" w:rsidR="005639B8" w:rsidRDefault="00140C0B" w:rsidP="007F3303">
      <w:pPr>
        <w:pStyle w:val="LPA-Bullets1"/>
        <w:rPr>
          <w:noProof/>
        </w:rPr>
      </w:pPr>
      <w:r w:rsidRPr="006937E0">
        <w:rPr>
          <w:noProof/>
        </w:rPr>
        <w:t xml:space="preserve">Members may </w:t>
      </w:r>
      <w:r w:rsidRPr="00140C0B">
        <w:rPr>
          <w:noProof/>
        </w:rPr>
        <w:t>ask</w:t>
      </w:r>
      <w:r w:rsidRPr="006937E0">
        <w:rPr>
          <w:noProof/>
        </w:rPr>
        <w:t xml:space="preserve"> ticket holders to</w:t>
      </w:r>
      <w:r>
        <w:rPr>
          <w:noProof/>
        </w:rPr>
        <w:t xml:space="preserve"> </w:t>
      </w:r>
      <w:r w:rsidR="006937E0">
        <w:rPr>
          <w:noProof/>
        </w:rPr>
        <w:t xml:space="preserve">provide supporting medical documentation, where possible. </w:t>
      </w:r>
      <w:r w:rsidR="0030494F">
        <w:rPr>
          <w:noProof/>
        </w:rPr>
        <w:t>M</w:t>
      </w:r>
      <w:r>
        <w:rPr>
          <w:noProof/>
        </w:rPr>
        <w:t>edical doc</w:t>
      </w:r>
      <w:r w:rsidR="0030494F">
        <w:rPr>
          <w:noProof/>
        </w:rPr>
        <w:t>u</w:t>
      </w:r>
      <w:r>
        <w:rPr>
          <w:noProof/>
        </w:rPr>
        <w:t>mentation</w:t>
      </w:r>
      <w:r w:rsidR="0030494F">
        <w:rPr>
          <w:noProof/>
        </w:rPr>
        <w:t xml:space="preserve"> may not be deemed necessary</w:t>
      </w:r>
      <w:r>
        <w:rPr>
          <w:noProof/>
        </w:rPr>
        <w:t xml:space="preserve"> where an exchange or credit/voucher is offered a</w:t>
      </w:r>
      <w:r w:rsidR="00EC7D73">
        <w:rPr>
          <w:noProof/>
        </w:rPr>
        <w:t>s</w:t>
      </w:r>
      <w:r>
        <w:rPr>
          <w:noProof/>
        </w:rPr>
        <w:t xml:space="preserve"> a remedy.</w:t>
      </w:r>
    </w:p>
    <w:p w14:paraId="27C759C3" w14:textId="2D94C608" w:rsidR="00CC4266" w:rsidRDefault="00CC4266" w:rsidP="00B924DB">
      <w:pPr>
        <w:pStyle w:val="LPA-Bullets1"/>
        <w:rPr>
          <w:noProof/>
        </w:rPr>
      </w:pPr>
      <w:r w:rsidRPr="00CC4266">
        <w:rPr>
          <w:noProof/>
        </w:rPr>
        <w:t xml:space="preserve">In addition to offering </w:t>
      </w:r>
      <w:r>
        <w:rPr>
          <w:noProof/>
        </w:rPr>
        <w:t>a remedy and if Members can accept donations in accordance with relevant laws</w:t>
      </w:r>
      <w:r w:rsidRPr="00CC4266">
        <w:rPr>
          <w:noProof/>
        </w:rPr>
        <w:t>, Member</w:t>
      </w:r>
      <w:r>
        <w:rPr>
          <w:noProof/>
        </w:rPr>
        <w:t>s</w:t>
      </w:r>
      <w:r w:rsidRPr="00CC4266">
        <w:rPr>
          <w:noProof/>
        </w:rPr>
        <w:t xml:space="preserve"> may ask whether </w:t>
      </w:r>
      <w:r>
        <w:rPr>
          <w:noProof/>
        </w:rPr>
        <w:t>ticket holders</w:t>
      </w:r>
      <w:r w:rsidRPr="00CC4266">
        <w:rPr>
          <w:noProof/>
        </w:rPr>
        <w:t xml:space="preserve"> are willing to forgo </w:t>
      </w:r>
      <w:r>
        <w:rPr>
          <w:noProof/>
        </w:rPr>
        <w:t xml:space="preserve">the </w:t>
      </w:r>
      <w:r w:rsidRPr="00CC4266">
        <w:rPr>
          <w:noProof/>
        </w:rPr>
        <w:t xml:space="preserve">remedy and donate the price paid for the </w:t>
      </w:r>
      <w:r w:rsidR="00966DAF">
        <w:rPr>
          <w:noProof/>
        </w:rPr>
        <w:t>t</w:t>
      </w:r>
      <w:r w:rsidRPr="00CC4266">
        <w:rPr>
          <w:noProof/>
        </w:rPr>
        <w:t>icket.</w:t>
      </w:r>
      <w:r>
        <w:rPr>
          <w:noProof/>
        </w:rPr>
        <w:t xml:space="preserve"> Members must inform ticket holders who will receive the donated amounts.</w:t>
      </w:r>
    </w:p>
    <w:p w14:paraId="636D2CA6" w14:textId="482607E9" w:rsidR="005639B8" w:rsidRDefault="005639B8" w:rsidP="001730F8">
      <w:pPr>
        <w:pStyle w:val="LPA-Numberedlist"/>
        <w:rPr>
          <w:noProof/>
        </w:rPr>
      </w:pPr>
      <w:r>
        <w:rPr>
          <w:noProof/>
        </w:rPr>
        <w:t>Members should provide a remedy</w:t>
      </w:r>
      <w:r w:rsidR="001730F8" w:rsidRPr="001730F8">
        <w:t xml:space="preserve"> </w:t>
      </w:r>
      <w:r w:rsidR="001730F8">
        <w:t xml:space="preserve">(and </w:t>
      </w:r>
      <w:r w:rsidR="001730F8" w:rsidRPr="001730F8">
        <w:rPr>
          <w:noProof/>
        </w:rPr>
        <w:t>should encourage ticket holders to notify the venue/ticket</w:t>
      </w:r>
      <w:r w:rsidR="001730F8">
        <w:rPr>
          <w:noProof/>
        </w:rPr>
        <w:t>ing company as soon as possible)</w:t>
      </w:r>
      <w:r>
        <w:rPr>
          <w:noProof/>
        </w:rPr>
        <w:t xml:space="preserve"> if a ticket holder:</w:t>
      </w:r>
    </w:p>
    <w:p w14:paraId="6E56C73A" w14:textId="6FF61205" w:rsidR="005639B8" w:rsidRDefault="005639B8" w:rsidP="007F3303">
      <w:pPr>
        <w:pStyle w:val="LPA-Bullets1"/>
        <w:rPr>
          <w:noProof/>
        </w:rPr>
      </w:pPr>
      <w:r>
        <w:rPr>
          <w:noProof/>
        </w:rPr>
        <w:t xml:space="preserve">is required to </w:t>
      </w:r>
      <w:r w:rsidR="00477A8E">
        <w:rPr>
          <w:noProof/>
        </w:rPr>
        <w:t>self-</w:t>
      </w:r>
      <w:r>
        <w:rPr>
          <w:noProof/>
        </w:rPr>
        <w:t>isolate or quarantine (and the event falls within the isolation/quarantine period) due to:</w:t>
      </w:r>
    </w:p>
    <w:p w14:paraId="1225DDA1" w14:textId="77777777" w:rsidR="005639B8" w:rsidRDefault="005639B8" w:rsidP="007F3303">
      <w:pPr>
        <w:pStyle w:val="LPA-Bullets2"/>
        <w:rPr>
          <w:noProof/>
        </w:rPr>
      </w:pPr>
      <w:r>
        <w:rPr>
          <w:noProof/>
        </w:rPr>
        <w:t>being a confirmed case of COVID-19; or</w:t>
      </w:r>
    </w:p>
    <w:p w14:paraId="51B43025" w14:textId="77777777" w:rsidR="005639B8" w:rsidRDefault="005639B8" w:rsidP="007F3303">
      <w:pPr>
        <w:pStyle w:val="LPA-Bullets2"/>
        <w:rPr>
          <w:noProof/>
        </w:rPr>
      </w:pPr>
      <w:r>
        <w:rPr>
          <w:noProof/>
        </w:rPr>
        <w:lastRenderedPageBreak/>
        <w:t>having close contact with a confirmed case of COVID-19; or</w:t>
      </w:r>
    </w:p>
    <w:p w14:paraId="08A7E04C" w14:textId="77777777" w:rsidR="005639B8" w:rsidRDefault="005639B8" w:rsidP="007F3303">
      <w:pPr>
        <w:pStyle w:val="LPA-Bullets2"/>
        <w:rPr>
          <w:noProof/>
        </w:rPr>
      </w:pPr>
      <w:r>
        <w:rPr>
          <w:noProof/>
        </w:rPr>
        <w:t>living in or having been in a high risk area within Australia; or</w:t>
      </w:r>
    </w:p>
    <w:p w14:paraId="2B5489D2" w14:textId="77777777" w:rsidR="005639B8" w:rsidRDefault="005639B8" w:rsidP="007F3303">
      <w:pPr>
        <w:pStyle w:val="LPA-Bullets2"/>
        <w:rPr>
          <w:noProof/>
        </w:rPr>
      </w:pPr>
      <w:r>
        <w:rPr>
          <w:noProof/>
        </w:rPr>
        <w:t>having returned from overseas.</w:t>
      </w:r>
    </w:p>
    <w:p w14:paraId="6537F855" w14:textId="77777777" w:rsidR="005639B8" w:rsidRDefault="005639B8" w:rsidP="007F3303">
      <w:pPr>
        <w:pStyle w:val="LPA-Bullets1"/>
        <w:rPr>
          <w:noProof/>
        </w:rPr>
      </w:pPr>
      <w:r>
        <w:rPr>
          <w:noProof/>
        </w:rPr>
        <w:t>has COVID-19 symptoms, has been tested for COVID-19 and is awaiting test results (and the event falls within the period of awaiting test results).</w:t>
      </w:r>
    </w:p>
    <w:p w14:paraId="31B16944" w14:textId="5E7D4ACB" w:rsidR="0030494F" w:rsidRDefault="0030494F" w:rsidP="002570F5">
      <w:pPr>
        <w:pStyle w:val="LPA-Body"/>
        <w:ind w:left="436"/>
        <w:rPr>
          <w:noProof/>
        </w:rPr>
      </w:pPr>
      <w:r w:rsidRPr="006937E0">
        <w:rPr>
          <w:noProof/>
        </w:rPr>
        <w:t xml:space="preserve">Members may </w:t>
      </w:r>
      <w:r w:rsidR="00966DAF">
        <w:rPr>
          <w:noProof/>
        </w:rPr>
        <w:t>require</w:t>
      </w:r>
      <w:r w:rsidRPr="006937E0">
        <w:rPr>
          <w:noProof/>
        </w:rPr>
        <w:t xml:space="preserve"> ticket holders to </w:t>
      </w:r>
      <w:r>
        <w:rPr>
          <w:noProof/>
        </w:rPr>
        <w:t xml:space="preserve">provide their request for a remedy in writing prior to the event. </w:t>
      </w:r>
    </w:p>
    <w:p w14:paraId="7E201D42" w14:textId="77777777" w:rsidR="0030494F" w:rsidRDefault="0030494F" w:rsidP="002570F5">
      <w:pPr>
        <w:pStyle w:val="LPA-Body"/>
        <w:ind w:left="436"/>
        <w:rPr>
          <w:noProof/>
        </w:rPr>
      </w:pPr>
      <w:r w:rsidRPr="006937E0">
        <w:rPr>
          <w:noProof/>
        </w:rPr>
        <w:t xml:space="preserve">Members may </w:t>
      </w:r>
      <w:r w:rsidRPr="00140C0B">
        <w:rPr>
          <w:noProof/>
        </w:rPr>
        <w:t>ask</w:t>
      </w:r>
      <w:r w:rsidRPr="006937E0">
        <w:rPr>
          <w:noProof/>
        </w:rPr>
        <w:t xml:space="preserve"> ticket holders to</w:t>
      </w:r>
      <w:r>
        <w:rPr>
          <w:noProof/>
        </w:rPr>
        <w:t xml:space="preserve"> provide supporting medical documentation, where possible. Medical documentation may not be deemed necessary where an exchange or credit/voucher is offered as a remedy.</w:t>
      </w:r>
    </w:p>
    <w:p w14:paraId="78C58346" w14:textId="77777777" w:rsidR="00CC4266" w:rsidRDefault="00CC4266" w:rsidP="002570F5">
      <w:pPr>
        <w:pStyle w:val="LPA-Body"/>
        <w:ind w:left="436"/>
        <w:rPr>
          <w:noProof/>
        </w:rPr>
      </w:pPr>
      <w:r w:rsidRPr="00CC4266">
        <w:rPr>
          <w:noProof/>
        </w:rPr>
        <w:t xml:space="preserve">In addition to offering </w:t>
      </w:r>
      <w:r>
        <w:rPr>
          <w:noProof/>
        </w:rPr>
        <w:t>a remedy and if Members can accept donations in accordance with relevant laws</w:t>
      </w:r>
      <w:r w:rsidRPr="00CC4266">
        <w:rPr>
          <w:noProof/>
        </w:rPr>
        <w:t>, Member</w:t>
      </w:r>
      <w:r>
        <w:rPr>
          <w:noProof/>
        </w:rPr>
        <w:t>s</w:t>
      </w:r>
      <w:r w:rsidRPr="00CC4266">
        <w:rPr>
          <w:noProof/>
        </w:rPr>
        <w:t xml:space="preserve"> may ask whether </w:t>
      </w:r>
      <w:r>
        <w:rPr>
          <w:noProof/>
        </w:rPr>
        <w:t>ticket holders</w:t>
      </w:r>
      <w:r w:rsidRPr="00CC4266">
        <w:rPr>
          <w:noProof/>
        </w:rPr>
        <w:t xml:space="preserve"> are willing to forgo </w:t>
      </w:r>
      <w:r>
        <w:rPr>
          <w:noProof/>
        </w:rPr>
        <w:t xml:space="preserve">the </w:t>
      </w:r>
      <w:r w:rsidRPr="00CC4266">
        <w:rPr>
          <w:noProof/>
        </w:rPr>
        <w:t>remedy and donate the price paid for the Ticket.</w:t>
      </w:r>
      <w:r>
        <w:rPr>
          <w:noProof/>
        </w:rPr>
        <w:t xml:space="preserve"> Members must inform ticket holders who will receive the donated amounts.</w:t>
      </w:r>
    </w:p>
    <w:p w14:paraId="2F3EB3D0" w14:textId="52728A05" w:rsidR="005639B8" w:rsidRDefault="005639B8" w:rsidP="009A283E">
      <w:pPr>
        <w:pStyle w:val="LPA-Numberedlist"/>
        <w:rPr>
          <w:noProof/>
        </w:rPr>
      </w:pPr>
      <w:r>
        <w:rPr>
          <w:noProof/>
        </w:rPr>
        <w:t>Members do not need to provide a remedy if:</w:t>
      </w:r>
    </w:p>
    <w:p w14:paraId="138511B9" w14:textId="77777777" w:rsidR="005639B8" w:rsidRDefault="005639B8" w:rsidP="007F3303">
      <w:pPr>
        <w:pStyle w:val="LPA-Bullets1"/>
        <w:rPr>
          <w:noProof/>
        </w:rPr>
      </w:pPr>
      <w:r>
        <w:rPr>
          <w:noProof/>
        </w:rPr>
        <w:t>a ticket holder is well and does not wish to attend an event due to fears of exposure to COVID-19; or</w:t>
      </w:r>
    </w:p>
    <w:p w14:paraId="7305B3E8" w14:textId="77777777" w:rsidR="005639B8" w:rsidRDefault="005639B8" w:rsidP="007F3303">
      <w:pPr>
        <w:pStyle w:val="LPA-Bullets1"/>
        <w:rPr>
          <w:noProof/>
        </w:rPr>
      </w:pPr>
      <w:r>
        <w:rPr>
          <w:noProof/>
        </w:rPr>
        <w:t>a ticket holder is unwell and does not attend an event (other than due to COVID-19 illness or symptoms); or</w:t>
      </w:r>
    </w:p>
    <w:p w14:paraId="3CD3B2FC" w14:textId="77777777" w:rsidR="005639B8" w:rsidRDefault="005639B8" w:rsidP="007F3303">
      <w:pPr>
        <w:pStyle w:val="LPA-Bullets1"/>
        <w:rPr>
          <w:noProof/>
        </w:rPr>
      </w:pPr>
      <w:r>
        <w:rPr>
          <w:noProof/>
        </w:rPr>
        <w:t>a ticket holder is from a group at a higher risk of COVID-19; or</w:t>
      </w:r>
    </w:p>
    <w:p w14:paraId="20863003" w14:textId="2E5057F9" w:rsidR="005639B8" w:rsidRDefault="005639B8" w:rsidP="007F3303">
      <w:pPr>
        <w:pStyle w:val="LPA-Bullets1"/>
        <w:rPr>
          <w:noProof/>
        </w:rPr>
      </w:pPr>
      <w:r>
        <w:rPr>
          <w:noProof/>
        </w:rPr>
        <w:t>a ticket holder is denied entry into the event for reasons which were disclosed to the ticket holder in the ticket terms and conditions at the time of sale</w:t>
      </w:r>
      <w:r w:rsidR="00AF72F0">
        <w:rPr>
          <w:noProof/>
        </w:rPr>
        <w:t>. For example, these reasons may include (but not be limited to) non-compliance with mandatory ma</w:t>
      </w:r>
      <w:r w:rsidR="00EB381E">
        <w:rPr>
          <w:noProof/>
        </w:rPr>
        <w:t>s</w:t>
      </w:r>
      <w:r w:rsidR="00AF72F0">
        <w:rPr>
          <w:noProof/>
        </w:rPr>
        <w:t>k wearing or unwillingness to provide personal contact information when requested</w:t>
      </w:r>
      <w:r>
        <w:rPr>
          <w:noProof/>
        </w:rPr>
        <w:t>; or</w:t>
      </w:r>
    </w:p>
    <w:p w14:paraId="56EC9AFC" w14:textId="2D61A68E" w:rsidR="005639B8" w:rsidRDefault="00DF79A2" w:rsidP="007F3303">
      <w:pPr>
        <w:pStyle w:val="LPA-Bullets1"/>
        <w:rPr>
          <w:noProof/>
        </w:rPr>
      </w:pPr>
      <w:r>
        <w:rPr>
          <w:noProof/>
        </w:rPr>
        <w:t>the ticket</w:t>
      </w:r>
      <w:r w:rsidR="005639B8">
        <w:rPr>
          <w:noProof/>
        </w:rPr>
        <w:t xml:space="preserve"> holder attends the per</w:t>
      </w:r>
      <w:r>
        <w:rPr>
          <w:noProof/>
        </w:rPr>
        <w:t>formance and subsequently leaves</w:t>
      </w:r>
      <w:r w:rsidR="005639B8">
        <w:rPr>
          <w:noProof/>
        </w:rPr>
        <w:t xml:space="preserve"> part way through due to feeling unwell. </w:t>
      </w:r>
    </w:p>
    <w:p w14:paraId="4E02A2B8" w14:textId="1FE4F2D9" w:rsidR="005639B8" w:rsidRDefault="005639B8" w:rsidP="005639B8">
      <w:pPr>
        <w:pStyle w:val="LPA-Body"/>
        <w:ind w:left="436"/>
        <w:rPr>
          <w:noProof/>
        </w:rPr>
      </w:pPr>
      <w:r>
        <w:rPr>
          <w:noProof/>
        </w:rPr>
        <w:t xml:space="preserve">Members may wish to provide a discretionary </w:t>
      </w:r>
      <w:r w:rsidR="00F06B23">
        <w:rPr>
          <w:noProof/>
        </w:rPr>
        <w:t>remedy</w:t>
      </w:r>
      <w:r>
        <w:rPr>
          <w:noProof/>
        </w:rPr>
        <w:t xml:space="preserve"> in the above circumstances.</w:t>
      </w:r>
    </w:p>
    <w:p w14:paraId="1C66C571" w14:textId="77B9F29C" w:rsidR="009051DE" w:rsidRDefault="009051DE" w:rsidP="009A283E">
      <w:pPr>
        <w:pStyle w:val="LPA-Numberedlist"/>
        <w:rPr>
          <w:noProof/>
        </w:rPr>
      </w:pPr>
      <w:r>
        <w:rPr>
          <w:noProof/>
        </w:rPr>
        <w:t xml:space="preserve">Members </w:t>
      </w:r>
      <w:r w:rsidR="007A2DBE">
        <w:rPr>
          <w:noProof/>
        </w:rPr>
        <w:t>c</w:t>
      </w:r>
      <w:r>
        <w:rPr>
          <w:noProof/>
        </w:rPr>
        <w:t>ould consider maintaining a waitlist of customers to whom tickets can</w:t>
      </w:r>
      <w:r w:rsidR="00C62904">
        <w:rPr>
          <w:noProof/>
        </w:rPr>
        <w:t xml:space="preserve"> be offered if they become avai</w:t>
      </w:r>
      <w:r>
        <w:rPr>
          <w:noProof/>
        </w:rPr>
        <w:t>l</w:t>
      </w:r>
      <w:r w:rsidR="00C62904">
        <w:rPr>
          <w:noProof/>
        </w:rPr>
        <w:t>a</w:t>
      </w:r>
      <w:r>
        <w:rPr>
          <w:noProof/>
        </w:rPr>
        <w:t xml:space="preserve">ble.  </w:t>
      </w:r>
    </w:p>
    <w:p w14:paraId="617C2A68" w14:textId="39A20796" w:rsidR="00AD3E61" w:rsidRPr="0013291D" w:rsidRDefault="00AD3E61" w:rsidP="009A283E">
      <w:pPr>
        <w:pStyle w:val="LPA-Numberedlist"/>
        <w:rPr>
          <w:noProof/>
        </w:rPr>
      </w:pPr>
      <w:r w:rsidRPr="0013291D">
        <w:rPr>
          <w:noProof/>
        </w:rPr>
        <w:t xml:space="preserve">Remedies </w:t>
      </w:r>
      <w:r w:rsidR="009F7963" w:rsidRPr="0013291D">
        <w:rPr>
          <w:noProof/>
        </w:rPr>
        <w:t xml:space="preserve">do not need to be extended to other members of a group booking if they are well. </w:t>
      </w:r>
    </w:p>
    <w:p w14:paraId="2B9DF131" w14:textId="280D623C" w:rsidR="00AD3E61" w:rsidRPr="0013291D" w:rsidRDefault="00AD3E61" w:rsidP="009A283E">
      <w:pPr>
        <w:pStyle w:val="LPA-Numberedlist"/>
        <w:rPr>
          <w:noProof/>
        </w:rPr>
      </w:pPr>
      <w:r w:rsidRPr="0013291D">
        <w:rPr>
          <w:noProof/>
        </w:rPr>
        <w:t xml:space="preserve">Members are not obliged to offer remedies to ticket holders who purchased tickets on the secondary ticket market (unless the ticket was purchased from a resale platform operated by the Member).  </w:t>
      </w:r>
    </w:p>
    <w:p w14:paraId="50BF7FD3" w14:textId="1F120178" w:rsidR="00306DFC" w:rsidRDefault="00306DFC" w:rsidP="00306DFC">
      <w:pPr>
        <w:pStyle w:val="LPA-BodyBold"/>
        <w:rPr>
          <w:noProof/>
        </w:rPr>
      </w:pPr>
      <w:r>
        <w:rPr>
          <w:noProof/>
        </w:rPr>
        <w:t>Live streamed events</w:t>
      </w:r>
    </w:p>
    <w:p w14:paraId="5D97AE99" w14:textId="56BA5D0C" w:rsidR="00306DFC" w:rsidRDefault="00306DFC" w:rsidP="009A283E">
      <w:pPr>
        <w:pStyle w:val="LPA-Numberedlist"/>
        <w:rPr>
          <w:noProof/>
        </w:rPr>
      </w:pPr>
      <w:r>
        <w:rPr>
          <w:noProof/>
        </w:rPr>
        <w:t xml:space="preserve">Some </w:t>
      </w:r>
      <w:r w:rsidR="00457637">
        <w:rPr>
          <w:noProof/>
        </w:rPr>
        <w:t>Members</w:t>
      </w:r>
      <w:r>
        <w:rPr>
          <w:noProof/>
        </w:rPr>
        <w:t xml:space="preserve"> may present live events to both live and online audiences. </w:t>
      </w:r>
      <w:r w:rsidR="00B754F5">
        <w:rPr>
          <w:noProof/>
        </w:rPr>
        <w:t xml:space="preserve">If a ticket holder has bought a ticket to attend in person and is unwell with COVID-19 symptoms, </w:t>
      </w:r>
      <w:r w:rsidR="00457637">
        <w:rPr>
          <w:noProof/>
        </w:rPr>
        <w:t>a</w:t>
      </w:r>
      <w:r w:rsidR="0013291D">
        <w:rPr>
          <w:noProof/>
        </w:rPr>
        <w:t>n additional</w:t>
      </w:r>
      <w:r w:rsidR="00457637">
        <w:rPr>
          <w:noProof/>
        </w:rPr>
        <w:t xml:space="preserve"> remedy</w:t>
      </w:r>
      <w:r w:rsidR="0013291D">
        <w:rPr>
          <w:noProof/>
        </w:rPr>
        <w:t xml:space="preserve"> could be</w:t>
      </w:r>
      <w:r w:rsidR="00457637">
        <w:rPr>
          <w:noProof/>
        </w:rPr>
        <w:t xml:space="preserve"> attending as an online audience member.</w:t>
      </w:r>
    </w:p>
    <w:p w14:paraId="7642BA1B" w14:textId="26903B8F" w:rsidR="00B754F5" w:rsidRDefault="00B754F5" w:rsidP="009A283E">
      <w:pPr>
        <w:pStyle w:val="LPA-Numberedlist"/>
        <w:rPr>
          <w:noProof/>
        </w:rPr>
      </w:pPr>
      <w:r>
        <w:rPr>
          <w:noProof/>
        </w:rPr>
        <w:t xml:space="preserve">If an event is originally offered </w:t>
      </w:r>
      <w:r w:rsidR="005163BF">
        <w:rPr>
          <w:noProof/>
        </w:rPr>
        <w:t xml:space="preserve">only </w:t>
      </w:r>
      <w:r>
        <w:rPr>
          <w:noProof/>
        </w:rPr>
        <w:t xml:space="preserve">as a live experience and subsequently </w:t>
      </w:r>
      <w:r w:rsidR="005163BF">
        <w:rPr>
          <w:noProof/>
        </w:rPr>
        <w:t>is</w:t>
      </w:r>
      <w:r>
        <w:rPr>
          <w:noProof/>
        </w:rPr>
        <w:t xml:space="preserve"> offered as a live streamed performance</w:t>
      </w:r>
      <w:r w:rsidR="005163BF">
        <w:rPr>
          <w:noProof/>
        </w:rPr>
        <w:t>, a full refund must be offered as one of the remedies.</w:t>
      </w:r>
    </w:p>
    <w:p w14:paraId="0C31BED8" w14:textId="77777777" w:rsidR="00684326" w:rsidRDefault="00684326" w:rsidP="00306DFC">
      <w:pPr>
        <w:pStyle w:val="LPA-BodyBold"/>
        <w:rPr>
          <w:noProof/>
        </w:rPr>
      </w:pPr>
    </w:p>
    <w:p w14:paraId="10CF22ED" w14:textId="54805A5B" w:rsidR="00306DFC" w:rsidRDefault="005163BF" w:rsidP="00306DFC">
      <w:pPr>
        <w:pStyle w:val="LPA-BodyBold"/>
        <w:rPr>
          <w:noProof/>
        </w:rPr>
      </w:pPr>
      <w:r>
        <w:rPr>
          <w:noProof/>
        </w:rPr>
        <w:t xml:space="preserve">Government directed closures </w:t>
      </w:r>
    </w:p>
    <w:p w14:paraId="0686F066" w14:textId="75E13D2E" w:rsidR="005639B8" w:rsidRDefault="005639B8" w:rsidP="009A283E">
      <w:pPr>
        <w:pStyle w:val="LPA-Numberedlist"/>
        <w:rPr>
          <w:noProof/>
        </w:rPr>
      </w:pPr>
      <w:r>
        <w:rPr>
          <w:noProof/>
        </w:rPr>
        <w:lastRenderedPageBreak/>
        <w:t xml:space="preserve">If an event is cancelled or rescheduled due to government directives, Members must </w:t>
      </w:r>
      <w:r w:rsidR="0013291D">
        <w:rPr>
          <w:noProof/>
        </w:rPr>
        <w:t>comply</w:t>
      </w:r>
      <w:r>
        <w:rPr>
          <w:noProof/>
        </w:rPr>
        <w:t xml:space="preserve"> with the ticket terms and conditions applicable at the time of ticket purchase.</w:t>
      </w:r>
    </w:p>
    <w:p w14:paraId="4C4A136F" w14:textId="7C411F37" w:rsidR="00CC4266" w:rsidRDefault="0013291D" w:rsidP="00CC4266">
      <w:pPr>
        <w:pStyle w:val="LPA-Numberedlist"/>
        <w:rPr>
          <w:noProof/>
        </w:rPr>
      </w:pPr>
      <w:r>
        <w:rPr>
          <w:noProof/>
        </w:rPr>
        <w:t xml:space="preserve">In addition, </w:t>
      </w:r>
      <w:r w:rsidR="00CC4266">
        <w:rPr>
          <w:noProof/>
        </w:rPr>
        <w:t>if Members can accept donations in accordance with relevant laws</w:t>
      </w:r>
      <w:r w:rsidR="00CC4266" w:rsidRPr="00CC4266">
        <w:rPr>
          <w:noProof/>
        </w:rPr>
        <w:t>, Member</w:t>
      </w:r>
      <w:r w:rsidR="00CC4266">
        <w:rPr>
          <w:noProof/>
        </w:rPr>
        <w:t>s</w:t>
      </w:r>
      <w:r w:rsidR="00CC4266" w:rsidRPr="00CC4266">
        <w:rPr>
          <w:noProof/>
        </w:rPr>
        <w:t xml:space="preserve"> may ask whether </w:t>
      </w:r>
      <w:r w:rsidR="00CC4266">
        <w:rPr>
          <w:noProof/>
        </w:rPr>
        <w:t>ticket holders</w:t>
      </w:r>
      <w:r w:rsidR="00CC4266" w:rsidRPr="00CC4266">
        <w:rPr>
          <w:noProof/>
        </w:rPr>
        <w:t xml:space="preserve"> are willing to donate the price paid for the Ticket.</w:t>
      </w:r>
      <w:r w:rsidR="00CC4266">
        <w:rPr>
          <w:noProof/>
        </w:rPr>
        <w:t xml:space="preserve"> Members must inform ticket holders who will receive the donated amounts.</w:t>
      </w:r>
    </w:p>
    <w:p w14:paraId="36A78A09" w14:textId="7376705A" w:rsidR="00B378F6" w:rsidRPr="00B378F6" w:rsidRDefault="00A218C2" w:rsidP="00C62904">
      <w:pPr>
        <w:pStyle w:val="LPA-BodyBold"/>
        <w:rPr>
          <w:noProof/>
        </w:rPr>
      </w:pPr>
      <w:r>
        <w:rPr>
          <w:noProof/>
        </w:rPr>
        <w:t>Audience c</w:t>
      </w:r>
      <w:r w:rsidR="00B378F6" w:rsidRPr="00B378F6">
        <w:rPr>
          <w:noProof/>
        </w:rPr>
        <w:t xml:space="preserve">ommunications </w:t>
      </w:r>
    </w:p>
    <w:p w14:paraId="31BF2A70" w14:textId="15033226" w:rsidR="00AB428F" w:rsidRDefault="00AB428F" w:rsidP="009A283E">
      <w:pPr>
        <w:pStyle w:val="LPA-Numberedlist"/>
        <w:rPr>
          <w:noProof/>
        </w:rPr>
      </w:pPr>
      <w:r>
        <w:rPr>
          <w:noProof/>
        </w:rPr>
        <w:t>Members may wish to update their ticket terms and conditions</w:t>
      </w:r>
      <w:r w:rsidR="00B378F6">
        <w:rPr>
          <w:noProof/>
        </w:rPr>
        <w:t>, or publish their COVID-19 refund/exchange policy</w:t>
      </w:r>
      <w:r>
        <w:rPr>
          <w:noProof/>
        </w:rPr>
        <w:t xml:space="preserve">. </w:t>
      </w:r>
    </w:p>
    <w:p w14:paraId="540CCCBE" w14:textId="54F71EB2" w:rsidR="00EB381E" w:rsidRDefault="00EB381E" w:rsidP="009A283E">
      <w:pPr>
        <w:pStyle w:val="LPA-Numberedlist"/>
        <w:rPr>
          <w:noProof/>
        </w:rPr>
      </w:pPr>
      <w:r>
        <w:rPr>
          <w:noProof/>
        </w:rPr>
        <w:t>Members should communicate with consumers before the event outlining:</w:t>
      </w:r>
    </w:p>
    <w:p w14:paraId="2C5F0286" w14:textId="6ADD5996" w:rsidR="00EB381E" w:rsidRPr="00477A8E" w:rsidRDefault="00EB381E" w:rsidP="007F3303">
      <w:pPr>
        <w:pStyle w:val="LPA-Bullets1"/>
        <w:rPr>
          <w:noProof/>
        </w:rPr>
      </w:pPr>
      <w:r w:rsidRPr="00477A8E">
        <w:rPr>
          <w:noProof/>
        </w:rPr>
        <w:t>measure</w:t>
      </w:r>
      <w:r w:rsidR="004606CC" w:rsidRPr="00477A8E">
        <w:rPr>
          <w:noProof/>
        </w:rPr>
        <w:t>s for presenti</w:t>
      </w:r>
      <w:r w:rsidRPr="00477A8E">
        <w:rPr>
          <w:noProof/>
        </w:rPr>
        <w:t xml:space="preserve">ng a COVID safe event; and </w:t>
      </w:r>
    </w:p>
    <w:p w14:paraId="5B4BB928" w14:textId="19687B9C" w:rsidR="00EB381E" w:rsidRPr="00477A8E" w:rsidRDefault="00EB381E" w:rsidP="004E6A63">
      <w:pPr>
        <w:pStyle w:val="LPA-Bullets1"/>
        <w:rPr>
          <w:noProof/>
        </w:rPr>
      </w:pPr>
      <w:r w:rsidRPr="00477A8E">
        <w:rPr>
          <w:noProof/>
        </w:rPr>
        <w:t>e</w:t>
      </w:r>
      <w:r w:rsidR="00477A8E">
        <w:rPr>
          <w:noProof/>
        </w:rPr>
        <w:t xml:space="preserve">xpectations that consumers will only </w:t>
      </w:r>
      <w:r w:rsidR="00477A8E" w:rsidRPr="00477A8E">
        <w:rPr>
          <w:noProof/>
        </w:rPr>
        <w:t>attend the event if</w:t>
      </w:r>
      <w:r w:rsidR="00477A8E">
        <w:rPr>
          <w:noProof/>
        </w:rPr>
        <w:t xml:space="preserve"> feeling well</w:t>
      </w:r>
      <w:r w:rsidR="00684326">
        <w:rPr>
          <w:noProof/>
        </w:rPr>
        <w:t xml:space="preserve"> </w:t>
      </w:r>
      <w:r w:rsidR="00477A8E">
        <w:rPr>
          <w:noProof/>
        </w:rPr>
        <w:t xml:space="preserve"> (i.e. not displaying COVID-</w:t>
      </w:r>
      <w:r w:rsidR="00684326">
        <w:rPr>
          <w:noProof/>
        </w:rPr>
        <w:t>1</w:t>
      </w:r>
      <w:r w:rsidR="00477A8E">
        <w:rPr>
          <w:noProof/>
        </w:rPr>
        <w:t>9 symptoms or required by government health</w:t>
      </w:r>
      <w:bookmarkStart w:id="0" w:name="_GoBack"/>
      <w:bookmarkEnd w:id="0"/>
      <w:r w:rsidR="00477A8E">
        <w:rPr>
          <w:noProof/>
        </w:rPr>
        <w:t xml:space="preserve"> directions to quarantine/self-isolate).</w:t>
      </w:r>
    </w:p>
    <w:p w14:paraId="4F55FB77" w14:textId="3300218E" w:rsidR="00B378F6" w:rsidRPr="00B378F6" w:rsidRDefault="00B378F6" w:rsidP="00C62904">
      <w:pPr>
        <w:pStyle w:val="LPA-BodyBold"/>
        <w:rPr>
          <w:noProof/>
        </w:rPr>
      </w:pPr>
      <w:r w:rsidRPr="00B378F6">
        <w:rPr>
          <w:noProof/>
        </w:rPr>
        <w:t>Expiry</w:t>
      </w:r>
    </w:p>
    <w:p w14:paraId="6FFABEF0" w14:textId="02514D54" w:rsidR="005639B8" w:rsidRDefault="005639B8" w:rsidP="009A283E">
      <w:pPr>
        <w:pStyle w:val="LPA-Numberedlist"/>
        <w:rPr>
          <w:noProof/>
        </w:rPr>
      </w:pPr>
      <w:r>
        <w:rPr>
          <w:noProof/>
        </w:rPr>
        <w:t xml:space="preserve">This guidance sunsets on </w:t>
      </w:r>
      <w:r w:rsidRPr="003B705F">
        <w:rPr>
          <w:noProof/>
        </w:rPr>
        <w:t>31 December 2020</w:t>
      </w:r>
      <w:r>
        <w:rPr>
          <w:noProof/>
        </w:rPr>
        <w:t xml:space="preserve"> and may be extended </w:t>
      </w:r>
      <w:r w:rsidR="003B705F">
        <w:rPr>
          <w:noProof/>
        </w:rPr>
        <w:t xml:space="preserve">(after being reviewed) </w:t>
      </w:r>
      <w:r>
        <w:rPr>
          <w:noProof/>
        </w:rPr>
        <w:t>depending upon levels of active COVID-19 cases in the community</w:t>
      </w:r>
      <w:r w:rsidR="00B378F6">
        <w:rPr>
          <w:noProof/>
        </w:rPr>
        <w:t xml:space="preserve"> an</w:t>
      </w:r>
      <w:r w:rsidR="003B705F">
        <w:rPr>
          <w:noProof/>
        </w:rPr>
        <w:t>d governm</w:t>
      </w:r>
      <w:r w:rsidR="00B378F6">
        <w:rPr>
          <w:noProof/>
        </w:rPr>
        <w:t>e</w:t>
      </w:r>
      <w:r w:rsidR="003B705F">
        <w:rPr>
          <w:noProof/>
        </w:rPr>
        <w:t>n</w:t>
      </w:r>
      <w:r w:rsidR="00B378F6">
        <w:rPr>
          <w:noProof/>
        </w:rPr>
        <w:t>t directions at the time</w:t>
      </w:r>
      <w:r>
        <w:rPr>
          <w:noProof/>
        </w:rPr>
        <w:t>.</w:t>
      </w:r>
    </w:p>
    <w:p w14:paraId="0AD4A614" w14:textId="77777777" w:rsidR="00313719" w:rsidRDefault="00313719" w:rsidP="00E14934">
      <w:pPr>
        <w:pStyle w:val="LPA-Body"/>
        <w:rPr>
          <w:noProof/>
        </w:rPr>
      </w:pPr>
    </w:p>
    <w:sectPr w:rsidR="00313719" w:rsidSect="002570F5">
      <w:headerReference w:type="default" r:id="rId9"/>
      <w:footerReference w:type="default" r:id="rId10"/>
      <w:pgSz w:w="11900" w:h="16840"/>
      <w:pgMar w:top="1639" w:right="1418" w:bottom="1440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FD7F1" w16cex:dateUtc="2020-07-07T19:28:00Z"/>
  <w16cex:commentExtensible w16cex:durableId="22AFDB8B" w16cex:dateUtc="2020-07-07T19:43:00Z"/>
  <w16cex:commentExtensible w16cex:durableId="22AFDCA6" w16cex:dateUtc="2020-07-07T19:48:00Z"/>
  <w16cex:commentExtensible w16cex:durableId="22AFDED1" w16cex:dateUtc="2020-07-07T19:57:00Z"/>
  <w16cex:commentExtensible w16cex:durableId="22AFDF68" w16cex:dateUtc="2020-07-07T20:00:00Z"/>
  <w16cex:commentExtensible w16cex:durableId="22AFDFF8" w16cex:dateUtc="2020-07-07T20:02:00Z"/>
  <w16cex:commentExtensible w16cex:durableId="22AFE30D" w16cex:dateUtc="2020-07-07T20:15:00Z"/>
  <w16cex:commentExtensible w16cex:durableId="22AFE521" w16cex:dateUtc="2020-07-07T20:24:00Z"/>
  <w16cex:commentExtensible w16cex:durableId="22AFE63A" w16cex:dateUtc="2020-07-07T20:29:00Z"/>
  <w16cex:commentExtensible w16cex:durableId="22AFE6A5" w16cex:dateUtc="2020-07-07T20:31:00Z"/>
  <w16cex:commentExtensible w16cex:durableId="22AFE727" w16cex:dateUtc="2020-07-07T20:33:00Z"/>
  <w16cex:commentExtensible w16cex:durableId="22AFE7FF" w16cex:dateUtc="2020-07-07T20:36:00Z"/>
  <w16cex:commentExtensible w16cex:durableId="22AFE85E" w16cex:dateUtc="2020-07-07T20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8E2A20" w16cid:durableId="22AFD7F1"/>
  <w16cid:commentId w16cid:paraId="16414969" w16cid:durableId="22AFDB8B"/>
  <w16cid:commentId w16cid:paraId="2E2C6E75" w16cid:durableId="22AFDCA6"/>
  <w16cid:commentId w16cid:paraId="44A897E0" w16cid:durableId="22AFDED1"/>
  <w16cid:commentId w16cid:paraId="3463D8DF" w16cid:durableId="22AFDF68"/>
  <w16cid:commentId w16cid:paraId="5ADAA5A5" w16cid:durableId="22AFDFF8"/>
  <w16cid:commentId w16cid:paraId="78E79E60" w16cid:durableId="22AFE30D"/>
  <w16cid:commentId w16cid:paraId="4791DF69" w16cid:durableId="22AFE521"/>
  <w16cid:commentId w16cid:paraId="5E588CC4" w16cid:durableId="22AFE63A"/>
  <w16cid:commentId w16cid:paraId="3C725F16" w16cid:durableId="22AFE6A5"/>
  <w16cid:commentId w16cid:paraId="3C9C9A77" w16cid:durableId="22AFE727"/>
  <w16cid:commentId w16cid:paraId="3BA6570C" w16cid:durableId="22AFE7FF"/>
  <w16cid:commentId w16cid:paraId="7BF3C8DB" w16cid:durableId="22AFE85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30F6D" w14:textId="77777777" w:rsidR="0082096B" w:rsidRDefault="0082096B" w:rsidP="00265BAF">
      <w:r>
        <w:separator/>
      </w:r>
    </w:p>
  </w:endnote>
  <w:endnote w:type="continuationSeparator" w:id="0">
    <w:p w14:paraId="3D8883EF" w14:textId="77777777" w:rsidR="0082096B" w:rsidRDefault="0082096B" w:rsidP="0026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00000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Univers LT Std 45 Light">
    <w:altName w:val="Calibri"/>
    <w:charset w:val="00"/>
    <w:family w:val="auto"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8D6E2" w14:textId="000D6130" w:rsidR="005639B8" w:rsidRDefault="00DF79A2">
    <w:pPr>
      <w:pStyle w:val="Footer"/>
      <w:rPr>
        <w:noProof/>
        <w:sz w:val="18"/>
      </w:rPr>
    </w:pPr>
    <w:r w:rsidRPr="004A47ED">
      <w:rPr>
        <w:noProof/>
        <w:sz w:val="18"/>
        <w:lang w:eastAsia="en-AU"/>
      </w:rPr>
      <w:drawing>
        <wp:anchor distT="0" distB="0" distL="114300" distR="114300" simplePos="0" relativeHeight="251657216" behindDoc="1" locked="0" layoutInCell="1" allowOverlap="1" wp14:anchorId="72BB8BC6" wp14:editId="1FEE0F7C">
          <wp:simplePos x="0" y="0"/>
          <wp:positionH relativeFrom="page">
            <wp:posOffset>6985</wp:posOffset>
          </wp:positionH>
          <wp:positionV relativeFrom="page">
            <wp:posOffset>9728835</wp:posOffset>
          </wp:positionV>
          <wp:extent cx="7542000" cy="943200"/>
          <wp:effectExtent l="0" t="0" r="190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16425 LPA Document Template DD3 - Long Heading - B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8"/>
      </w:rPr>
      <w:t>COVID-19: Guidance on refunds and exchanges</w:t>
    </w:r>
    <w:r w:rsidRPr="004A47ED">
      <w:rPr>
        <w:sz w:val="18"/>
      </w:rPr>
      <w:tab/>
    </w:r>
    <w:r w:rsidRPr="004A47ED">
      <w:rPr>
        <w:sz w:val="18"/>
      </w:rPr>
      <w:tab/>
      <w:t xml:space="preserve">Page </w:t>
    </w:r>
    <w:r w:rsidRPr="004A47ED">
      <w:rPr>
        <w:sz w:val="18"/>
      </w:rPr>
      <w:fldChar w:fldCharType="begin"/>
    </w:r>
    <w:r w:rsidRPr="004A47ED">
      <w:rPr>
        <w:sz w:val="18"/>
      </w:rPr>
      <w:instrText xml:space="preserve"> PAGE   \* MERGEFORMAT </w:instrText>
    </w:r>
    <w:r w:rsidRPr="004A47ED">
      <w:rPr>
        <w:sz w:val="18"/>
      </w:rPr>
      <w:fldChar w:fldCharType="separate"/>
    </w:r>
    <w:r w:rsidR="00A61DEF">
      <w:rPr>
        <w:noProof/>
        <w:sz w:val="18"/>
      </w:rPr>
      <w:t>4</w:t>
    </w:r>
    <w:r w:rsidRPr="004A47ED">
      <w:rPr>
        <w:noProof/>
        <w:sz w:val="18"/>
      </w:rPr>
      <w:fldChar w:fldCharType="end"/>
    </w:r>
    <w:r w:rsidRPr="004A47ED">
      <w:rPr>
        <w:noProof/>
        <w:sz w:val="18"/>
        <w:lang w:eastAsia="en-AU"/>
      </w:rPr>
      <w:drawing>
        <wp:anchor distT="0" distB="0" distL="114300" distR="114300" simplePos="0" relativeHeight="251656192" behindDoc="1" locked="0" layoutInCell="1" allowOverlap="1" wp14:anchorId="69C693A0" wp14:editId="7B45EB33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42000" cy="943200"/>
          <wp:effectExtent l="0" t="0" r="1905" b="952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16425 LPA Document Template DD3 - Long Heading - B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BB0B41" w14:textId="1BABAAC3" w:rsidR="00D84831" w:rsidRPr="00DF79A2" w:rsidRDefault="00D84831">
    <w:pPr>
      <w:pStyle w:val="Footer"/>
      <w:rPr>
        <w:noProof/>
        <w:sz w:val="18"/>
      </w:rPr>
    </w:pPr>
    <w:r>
      <w:rPr>
        <w:noProof/>
        <w:sz w:val="18"/>
      </w:rPr>
      <w:t>August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9C314" w14:textId="77777777" w:rsidR="0082096B" w:rsidRDefault="0082096B" w:rsidP="00265BAF">
      <w:r>
        <w:separator/>
      </w:r>
    </w:p>
  </w:footnote>
  <w:footnote w:type="continuationSeparator" w:id="0">
    <w:p w14:paraId="654184E3" w14:textId="77777777" w:rsidR="0082096B" w:rsidRDefault="0082096B" w:rsidP="00265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3BA4C" w14:textId="1103DA5A" w:rsidR="005639B8" w:rsidRDefault="00DF79A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4CA81929" wp14:editId="5A9EC83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34275" cy="892175"/>
          <wp:effectExtent l="0" t="0" r="9525" b="317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16425 LPA Document Template DD3 - Follower 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89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64BB8"/>
    <w:multiLevelType w:val="hybridMultilevel"/>
    <w:tmpl w:val="ECA4E990"/>
    <w:lvl w:ilvl="0" w:tplc="BA9221C2">
      <w:start w:val="1"/>
      <w:numFmt w:val="bullet"/>
      <w:pStyle w:val="LPA-Bullets1"/>
      <w:lvlText w:val=""/>
      <w:lvlJc w:val="left"/>
      <w:pPr>
        <w:ind w:left="861" w:hanging="425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" w15:restartNumberingAfterBreak="0">
    <w:nsid w:val="02F05015"/>
    <w:multiLevelType w:val="multilevel"/>
    <w:tmpl w:val="0DC0F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67765F2"/>
    <w:multiLevelType w:val="hybridMultilevel"/>
    <w:tmpl w:val="5BD6B8CE"/>
    <w:lvl w:ilvl="0" w:tplc="6B18DF44">
      <w:start w:val="1"/>
      <w:numFmt w:val="decimal"/>
      <w:pStyle w:val="LPA-Numberedlist"/>
      <w:lvlText w:val="%1."/>
      <w:lvlJc w:val="left"/>
      <w:pPr>
        <w:ind w:left="425" w:hanging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62D2D"/>
    <w:multiLevelType w:val="hybridMultilevel"/>
    <w:tmpl w:val="B36CECD8"/>
    <w:lvl w:ilvl="0" w:tplc="88E8CF1E">
      <w:start w:val="1"/>
      <w:numFmt w:val="lowerRoman"/>
      <w:pStyle w:val="LPA-Numberedlist2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718AB"/>
    <w:multiLevelType w:val="hybridMultilevel"/>
    <w:tmpl w:val="3E7230A6"/>
    <w:lvl w:ilvl="0" w:tplc="10DC0600">
      <w:start w:val="1"/>
      <w:numFmt w:val="bullet"/>
      <w:pStyle w:val="LPA-Bullets2"/>
      <w:lvlText w:val=""/>
      <w:lvlJc w:val="left"/>
      <w:pPr>
        <w:ind w:left="11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5" w15:restartNumberingAfterBreak="0">
    <w:nsid w:val="603F1BD0"/>
    <w:multiLevelType w:val="hybridMultilevel"/>
    <w:tmpl w:val="3CF6F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B1F77"/>
    <w:multiLevelType w:val="multilevel"/>
    <w:tmpl w:val="3B386084"/>
    <w:lvl w:ilvl="0">
      <w:start w:val="1"/>
      <w:numFmt w:val="decimal"/>
      <w:pStyle w:val="LPA-CopyHeading1List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pStyle w:val="LPA-CopyHeading2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6"/>
  </w:num>
  <w:num w:numId="1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6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6"/>
  </w:num>
  <w:num w:numId="23">
    <w:abstractNumId w:val="2"/>
  </w:num>
  <w:num w:numId="24">
    <w:abstractNumId w:val="2"/>
  </w:num>
  <w:num w:numId="25">
    <w:abstractNumId w:val="2"/>
  </w:num>
  <w:num w:numId="26">
    <w:abstractNumId w:val="4"/>
  </w:num>
  <w:num w:numId="27">
    <w:abstractNumId w:val="4"/>
  </w:num>
  <w:num w:numId="28">
    <w:abstractNumId w:val="0"/>
  </w:num>
  <w:num w:numId="29">
    <w:abstractNumId w:val="2"/>
  </w:num>
  <w:num w:numId="30">
    <w:abstractNumId w:val="2"/>
  </w:num>
  <w:num w:numId="31">
    <w:abstractNumId w:val="2"/>
  </w:num>
  <w:num w:numId="32">
    <w:abstractNumId w:val="3"/>
  </w:num>
  <w:num w:numId="33">
    <w:abstractNumId w:val="2"/>
  </w:num>
  <w:num w:numId="34">
    <w:abstractNumId w:val="0"/>
  </w:num>
  <w:num w:numId="35">
    <w:abstractNumId w:val="0"/>
  </w:num>
  <w:num w:numId="36">
    <w:abstractNumId w:val="4"/>
  </w:num>
  <w:num w:numId="3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A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B8"/>
    <w:rsid w:val="000030A5"/>
    <w:rsid w:val="000030EB"/>
    <w:rsid w:val="000050F1"/>
    <w:rsid w:val="00007EC6"/>
    <w:rsid w:val="00011480"/>
    <w:rsid w:val="00011A38"/>
    <w:rsid w:val="00015456"/>
    <w:rsid w:val="00016F10"/>
    <w:rsid w:val="00032C52"/>
    <w:rsid w:val="00033208"/>
    <w:rsid w:val="00033CC3"/>
    <w:rsid w:val="00034B57"/>
    <w:rsid w:val="00036DA6"/>
    <w:rsid w:val="00037A68"/>
    <w:rsid w:val="000407DC"/>
    <w:rsid w:val="00041C96"/>
    <w:rsid w:val="00042511"/>
    <w:rsid w:val="00042839"/>
    <w:rsid w:val="00043B2B"/>
    <w:rsid w:val="00046347"/>
    <w:rsid w:val="00047FDE"/>
    <w:rsid w:val="00050CD4"/>
    <w:rsid w:val="00053E8B"/>
    <w:rsid w:val="000601CE"/>
    <w:rsid w:val="00062A6A"/>
    <w:rsid w:val="0007437F"/>
    <w:rsid w:val="00077E45"/>
    <w:rsid w:val="000831F5"/>
    <w:rsid w:val="000835F7"/>
    <w:rsid w:val="000838B4"/>
    <w:rsid w:val="00093092"/>
    <w:rsid w:val="000A0FFD"/>
    <w:rsid w:val="000B3B7D"/>
    <w:rsid w:val="000B5FDF"/>
    <w:rsid w:val="000B7695"/>
    <w:rsid w:val="000C03A3"/>
    <w:rsid w:val="000C14C9"/>
    <w:rsid w:val="000C4E2C"/>
    <w:rsid w:val="000C68C2"/>
    <w:rsid w:val="000D2528"/>
    <w:rsid w:val="000D49C6"/>
    <w:rsid w:val="000D4A57"/>
    <w:rsid w:val="000D58B1"/>
    <w:rsid w:val="000D7E2D"/>
    <w:rsid w:val="000E07D6"/>
    <w:rsid w:val="000F097C"/>
    <w:rsid w:val="000F38A0"/>
    <w:rsid w:val="00102DE8"/>
    <w:rsid w:val="00115218"/>
    <w:rsid w:val="00117DC3"/>
    <w:rsid w:val="00120FCB"/>
    <w:rsid w:val="00124A31"/>
    <w:rsid w:val="0012642D"/>
    <w:rsid w:val="0013154C"/>
    <w:rsid w:val="0013291D"/>
    <w:rsid w:val="001357B9"/>
    <w:rsid w:val="00135FFB"/>
    <w:rsid w:val="0013686A"/>
    <w:rsid w:val="00140C0B"/>
    <w:rsid w:val="00144494"/>
    <w:rsid w:val="00147171"/>
    <w:rsid w:val="00155230"/>
    <w:rsid w:val="0017288C"/>
    <w:rsid w:val="001730F8"/>
    <w:rsid w:val="00174BE1"/>
    <w:rsid w:val="00194991"/>
    <w:rsid w:val="001A1637"/>
    <w:rsid w:val="001A5BEB"/>
    <w:rsid w:val="001B306C"/>
    <w:rsid w:val="001B434A"/>
    <w:rsid w:val="001B4885"/>
    <w:rsid w:val="001B518C"/>
    <w:rsid w:val="001C3DAD"/>
    <w:rsid w:val="001C5FA8"/>
    <w:rsid w:val="001C6CF4"/>
    <w:rsid w:val="001D1958"/>
    <w:rsid w:val="001D4C6D"/>
    <w:rsid w:val="001D7F27"/>
    <w:rsid w:val="001E1915"/>
    <w:rsid w:val="001E3E98"/>
    <w:rsid w:val="001E784E"/>
    <w:rsid w:val="001F0788"/>
    <w:rsid w:val="001F4317"/>
    <w:rsid w:val="00201EFF"/>
    <w:rsid w:val="00202939"/>
    <w:rsid w:val="00205F93"/>
    <w:rsid w:val="00206386"/>
    <w:rsid w:val="00220C22"/>
    <w:rsid w:val="00220C23"/>
    <w:rsid w:val="00224DA8"/>
    <w:rsid w:val="00226DFF"/>
    <w:rsid w:val="00235065"/>
    <w:rsid w:val="0023708B"/>
    <w:rsid w:val="0024206F"/>
    <w:rsid w:val="00243185"/>
    <w:rsid w:val="00245B3C"/>
    <w:rsid w:val="00246354"/>
    <w:rsid w:val="00247AA9"/>
    <w:rsid w:val="0025443E"/>
    <w:rsid w:val="00256CCE"/>
    <w:rsid w:val="002570F5"/>
    <w:rsid w:val="00262A5B"/>
    <w:rsid w:val="00265BAF"/>
    <w:rsid w:val="00271E90"/>
    <w:rsid w:val="00284228"/>
    <w:rsid w:val="002926CD"/>
    <w:rsid w:val="00292BBD"/>
    <w:rsid w:val="002A090F"/>
    <w:rsid w:val="002A1024"/>
    <w:rsid w:val="002A759C"/>
    <w:rsid w:val="002B49C8"/>
    <w:rsid w:val="002C0B15"/>
    <w:rsid w:val="002C3158"/>
    <w:rsid w:val="002D4592"/>
    <w:rsid w:val="002D5052"/>
    <w:rsid w:val="002D7BC3"/>
    <w:rsid w:val="002E09A6"/>
    <w:rsid w:val="002E1418"/>
    <w:rsid w:val="002E6F47"/>
    <w:rsid w:val="002F6B15"/>
    <w:rsid w:val="00301F4A"/>
    <w:rsid w:val="0030494F"/>
    <w:rsid w:val="00304BC8"/>
    <w:rsid w:val="00306DFC"/>
    <w:rsid w:val="003073C1"/>
    <w:rsid w:val="00310AED"/>
    <w:rsid w:val="00313719"/>
    <w:rsid w:val="00317E6D"/>
    <w:rsid w:val="0032641C"/>
    <w:rsid w:val="003264B0"/>
    <w:rsid w:val="003317F7"/>
    <w:rsid w:val="00333AA9"/>
    <w:rsid w:val="003369F7"/>
    <w:rsid w:val="003450CE"/>
    <w:rsid w:val="00351EDB"/>
    <w:rsid w:val="00352277"/>
    <w:rsid w:val="003574F7"/>
    <w:rsid w:val="00360378"/>
    <w:rsid w:val="00363ED8"/>
    <w:rsid w:val="00376B20"/>
    <w:rsid w:val="00383901"/>
    <w:rsid w:val="003A2543"/>
    <w:rsid w:val="003A4B7F"/>
    <w:rsid w:val="003A5E8A"/>
    <w:rsid w:val="003B3BD5"/>
    <w:rsid w:val="003B705F"/>
    <w:rsid w:val="003D03E4"/>
    <w:rsid w:val="003D1F79"/>
    <w:rsid w:val="003D54A7"/>
    <w:rsid w:val="003F08E5"/>
    <w:rsid w:val="003F1007"/>
    <w:rsid w:val="00405C64"/>
    <w:rsid w:val="00406A7B"/>
    <w:rsid w:val="00407696"/>
    <w:rsid w:val="00413E8F"/>
    <w:rsid w:val="00415D63"/>
    <w:rsid w:val="00424253"/>
    <w:rsid w:val="004277EE"/>
    <w:rsid w:val="00437FF2"/>
    <w:rsid w:val="004431A9"/>
    <w:rsid w:val="00444211"/>
    <w:rsid w:val="004464FD"/>
    <w:rsid w:val="00446BDF"/>
    <w:rsid w:val="00452D8A"/>
    <w:rsid w:val="00455B70"/>
    <w:rsid w:val="00457624"/>
    <w:rsid w:val="00457637"/>
    <w:rsid w:val="004578EE"/>
    <w:rsid w:val="004606CC"/>
    <w:rsid w:val="00471A6C"/>
    <w:rsid w:val="004755D5"/>
    <w:rsid w:val="004763A7"/>
    <w:rsid w:val="00476985"/>
    <w:rsid w:val="00477A8E"/>
    <w:rsid w:val="0048023A"/>
    <w:rsid w:val="00480AC4"/>
    <w:rsid w:val="00490A80"/>
    <w:rsid w:val="00491203"/>
    <w:rsid w:val="00497B85"/>
    <w:rsid w:val="004A0433"/>
    <w:rsid w:val="004A4125"/>
    <w:rsid w:val="004A5010"/>
    <w:rsid w:val="004B0351"/>
    <w:rsid w:val="004B1484"/>
    <w:rsid w:val="004B7FFC"/>
    <w:rsid w:val="004C1685"/>
    <w:rsid w:val="004C5BE0"/>
    <w:rsid w:val="004C698A"/>
    <w:rsid w:val="004D47C5"/>
    <w:rsid w:val="004D5457"/>
    <w:rsid w:val="004E0D4E"/>
    <w:rsid w:val="004F6A09"/>
    <w:rsid w:val="00505406"/>
    <w:rsid w:val="005163BF"/>
    <w:rsid w:val="005173F3"/>
    <w:rsid w:val="00522381"/>
    <w:rsid w:val="0052273D"/>
    <w:rsid w:val="005258BA"/>
    <w:rsid w:val="005356FA"/>
    <w:rsid w:val="00536054"/>
    <w:rsid w:val="005361CC"/>
    <w:rsid w:val="005507A7"/>
    <w:rsid w:val="00551284"/>
    <w:rsid w:val="005639B8"/>
    <w:rsid w:val="005646E6"/>
    <w:rsid w:val="00566871"/>
    <w:rsid w:val="0056761C"/>
    <w:rsid w:val="00571E85"/>
    <w:rsid w:val="00574182"/>
    <w:rsid w:val="0058134B"/>
    <w:rsid w:val="005816A7"/>
    <w:rsid w:val="00591F8E"/>
    <w:rsid w:val="00594CF3"/>
    <w:rsid w:val="005972FC"/>
    <w:rsid w:val="005A1CFF"/>
    <w:rsid w:val="005A64F7"/>
    <w:rsid w:val="005A69DC"/>
    <w:rsid w:val="005B0733"/>
    <w:rsid w:val="005B7487"/>
    <w:rsid w:val="005C1F56"/>
    <w:rsid w:val="005C4EDF"/>
    <w:rsid w:val="005C6408"/>
    <w:rsid w:val="005D17A4"/>
    <w:rsid w:val="005D4AB9"/>
    <w:rsid w:val="005D5C09"/>
    <w:rsid w:val="005E4586"/>
    <w:rsid w:val="005F3DB3"/>
    <w:rsid w:val="006000F2"/>
    <w:rsid w:val="00603479"/>
    <w:rsid w:val="006145D0"/>
    <w:rsid w:val="0062315C"/>
    <w:rsid w:val="0062465B"/>
    <w:rsid w:val="0063010B"/>
    <w:rsid w:val="006302A7"/>
    <w:rsid w:val="00632875"/>
    <w:rsid w:val="00637280"/>
    <w:rsid w:val="006431D8"/>
    <w:rsid w:val="0064400D"/>
    <w:rsid w:val="00663A0E"/>
    <w:rsid w:val="00666EC2"/>
    <w:rsid w:val="006671D5"/>
    <w:rsid w:val="00673433"/>
    <w:rsid w:val="00673A66"/>
    <w:rsid w:val="00674C07"/>
    <w:rsid w:val="00680DFB"/>
    <w:rsid w:val="006831CB"/>
    <w:rsid w:val="00684326"/>
    <w:rsid w:val="00690392"/>
    <w:rsid w:val="00691C0C"/>
    <w:rsid w:val="006937E0"/>
    <w:rsid w:val="00696147"/>
    <w:rsid w:val="006B29CD"/>
    <w:rsid w:val="006B34E8"/>
    <w:rsid w:val="006B7827"/>
    <w:rsid w:val="006D2F98"/>
    <w:rsid w:val="006E0AD5"/>
    <w:rsid w:val="006F6E20"/>
    <w:rsid w:val="00701C69"/>
    <w:rsid w:val="00705567"/>
    <w:rsid w:val="007076E9"/>
    <w:rsid w:val="0071200C"/>
    <w:rsid w:val="00716371"/>
    <w:rsid w:val="007245A2"/>
    <w:rsid w:val="00725CE6"/>
    <w:rsid w:val="00731C0F"/>
    <w:rsid w:val="007326DB"/>
    <w:rsid w:val="00736550"/>
    <w:rsid w:val="00740496"/>
    <w:rsid w:val="00741245"/>
    <w:rsid w:val="007435E1"/>
    <w:rsid w:val="00743C58"/>
    <w:rsid w:val="00744EE9"/>
    <w:rsid w:val="00747F8E"/>
    <w:rsid w:val="00755322"/>
    <w:rsid w:val="0075640A"/>
    <w:rsid w:val="0076059C"/>
    <w:rsid w:val="00762165"/>
    <w:rsid w:val="0076586E"/>
    <w:rsid w:val="007659DE"/>
    <w:rsid w:val="00767F88"/>
    <w:rsid w:val="00770C45"/>
    <w:rsid w:val="007937A1"/>
    <w:rsid w:val="007937A9"/>
    <w:rsid w:val="007A0A76"/>
    <w:rsid w:val="007A2DBE"/>
    <w:rsid w:val="007A2F1F"/>
    <w:rsid w:val="007A74A1"/>
    <w:rsid w:val="007B097D"/>
    <w:rsid w:val="007B35E6"/>
    <w:rsid w:val="007C3638"/>
    <w:rsid w:val="007C501D"/>
    <w:rsid w:val="007D242D"/>
    <w:rsid w:val="007D53E7"/>
    <w:rsid w:val="007E210A"/>
    <w:rsid w:val="007F3303"/>
    <w:rsid w:val="007F5463"/>
    <w:rsid w:val="008021CE"/>
    <w:rsid w:val="00810F8A"/>
    <w:rsid w:val="008201DB"/>
    <w:rsid w:val="0082096B"/>
    <w:rsid w:val="008211F9"/>
    <w:rsid w:val="00823A51"/>
    <w:rsid w:val="00830642"/>
    <w:rsid w:val="00841B5A"/>
    <w:rsid w:val="00850E96"/>
    <w:rsid w:val="00852C97"/>
    <w:rsid w:val="0085625E"/>
    <w:rsid w:val="0086155D"/>
    <w:rsid w:val="008625F2"/>
    <w:rsid w:val="00872052"/>
    <w:rsid w:val="00881A8B"/>
    <w:rsid w:val="008918EE"/>
    <w:rsid w:val="00891A66"/>
    <w:rsid w:val="0089664C"/>
    <w:rsid w:val="008A1143"/>
    <w:rsid w:val="008A6E53"/>
    <w:rsid w:val="008B0774"/>
    <w:rsid w:val="008B2AC8"/>
    <w:rsid w:val="008B52F5"/>
    <w:rsid w:val="008C4BB4"/>
    <w:rsid w:val="008D57AE"/>
    <w:rsid w:val="008D796E"/>
    <w:rsid w:val="008D7EDB"/>
    <w:rsid w:val="008E3642"/>
    <w:rsid w:val="008F45F4"/>
    <w:rsid w:val="009018E6"/>
    <w:rsid w:val="0090454E"/>
    <w:rsid w:val="00904D96"/>
    <w:rsid w:val="009051DE"/>
    <w:rsid w:val="009148D6"/>
    <w:rsid w:val="00915578"/>
    <w:rsid w:val="00924A1B"/>
    <w:rsid w:val="009265C7"/>
    <w:rsid w:val="00926715"/>
    <w:rsid w:val="00927865"/>
    <w:rsid w:val="00940892"/>
    <w:rsid w:val="009416C8"/>
    <w:rsid w:val="00946CDF"/>
    <w:rsid w:val="009501E5"/>
    <w:rsid w:val="00951F21"/>
    <w:rsid w:val="00954D0F"/>
    <w:rsid w:val="009558DE"/>
    <w:rsid w:val="009622F2"/>
    <w:rsid w:val="0096495E"/>
    <w:rsid w:val="00966DAF"/>
    <w:rsid w:val="00967D87"/>
    <w:rsid w:val="00970FA2"/>
    <w:rsid w:val="00974A2C"/>
    <w:rsid w:val="00975DBB"/>
    <w:rsid w:val="0098271E"/>
    <w:rsid w:val="00983EEF"/>
    <w:rsid w:val="0098556B"/>
    <w:rsid w:val="00985C0E"/>
    <w:rsid w:val="00990452"/>
    <w:rsid w:val="00997F86"/>
    <w:rsid w:val="009A283E"/>
    <w:rsid w:val="009A3848"/>
    <w:rsid w:val="009A5F88"/>
    <w:rsid w:val="009A60FB"/>
    <w:rsid w:val="009A7763"/>
    <w:rsid w:val="009B5B0B"/>
    <w:rsid w:val="009C700A"/>
    <w:rsid w:val="009D1A2B"/>
    <w:rsid w:val="009D2793"/>
    <w:rsid w:val="009E31C3"/>
    <w:rsid w:val="009E3AD6"/>
    <w:rsid w:val="009E6591"/>
    <w:rsid w:val="009F254E"/>
    <w:rsid w:val="009F27BE"/>
    <w:rsid w:val="009F3093"/>
    <w:rsid w:val="009F586E"/>
    <w:rsid w:val="009F7963"/>
    <w:rsid w:val="009F7D3E"/>
    <w:rsid w:val="00A0030A"/>
    <w:rsid w:val="00A009EA"/>
    <w:rsid w:val="00A01E90"/>
    <w:rsid w:val="00A02DC8"/>
    <w:rsid w:val="00A06463"/>
    <w:rsid w:val="00A12E67"/>
    <w:rsid w:val="00A15DC8"/>
    <w:rsid w:val="00A218C2"/>
    <w:rsid w:val="00A21F97"/>
    <w:rsid w:val="00A25E4B"/>
    <w:rsid w:val="00A26969"/>
    <w:rsid w:val="00A32A89"/>
    <w:rsid w:val="00A36EF9"/>
    <w:rsid w:val="00A53538"/>
    <w:rsid w:val="00A53587"/>
    <w:rsid w:val="00A60341"/>
    <w:rsid w:val="00A61DEF"/>
    <w:rsid w:val="00A67185"/>
    <w:rsid w:val="00A7799B"/>
    <w:rsid w:val="00A846D9"/>
    <w:rsid w:val="00A86D25"/>
    <w:rsid w:val="00A93CCF"/>
    <w:rsid w:val="00A93D4D"/>
    <w:rsid w:val="00A93E85"/>
    <w:rsid w:val="00AA1C9A"/>
    <w:rsid w:val="00AA2D14"/>
    <w:rsid w:val="00AA5109"/>
    <w:rsid w:val="00AB1DEA"/>
    <w:rsid w:val="00AB428F"/>
    <w:rsid w:val="00AC6FF6"/>
    <w:rsid w:val="00AC7FF2"/>
    <w:rsid w:val="00AD2364"/>
    <w:rsid w:val="00AD3B46"/>
    <w:rsid w:val="00AD3E61"/>
    <w:rsid w:val="00AD5781"/>
    <w:rsid w:val="00AD6FAC"/>
    <w:rsid w:val="00AD7757"/>
    <w:rsid w:val="00AF0685"/>
    <w:rsid w:val="00AF21A3"/>
    <w:rsid w:val="00AF4D90"/>
    <w:rsid w:val="00AF72F0"/>
    <w:rsid w:val="00B06B65"/>
    <w:rsid w:val="00B1154F"/>
    <w:rsid w:val="00B11A1B"/>
    <w:rsid w:val="00B11A2A"/>
    <w:rsid w:val="00B12419"/>
    <w:rsid w:val="00B14EE0"/>
    <w:rsid w:val="00B247DC"/>
    <w:rsid w:val="00B2740E"/>
    <w:rsid w:val="00B331D6"/>
    <w:rsid w:val="00B36BBD"/>
    <w:rsid w:val="00B378F6"/>
    <w:rsid w:val="00B41B4C"/>
    <w:rsid w:val="00B42E45"/>
    <w:rsid w:val="00B4530C"/>
    <w:rsid w:val="00B631EC"/>
    <w:rsid w:val="00B64D27"/>
    <w:rsid w:val="00B7218A"/>
    <w:rsid w:val="00B72B8A"/>
    <w:rsid w:val="00B754F5"/>
    <w:rsid w:val="00B8776C"/>
    <w:rsid w:val="00B96E88"/>
    <w:rsid w:val="00BA062A"/>
    <w:rsid w:val="00BA1C85"/>
    <w:rsid w:val="00BA3F44"/>
    <w:rsid w:val="00BA49EE"/>
    <w:rsid w:val="00BA64C8"/>
    <w:rsid w:val="00BC010D"/>
    <w:rsid w:val="00BC17D5"/>
    <w:rsid w:val="00BC5DDC"/>
    <w:rsid w:val="00BE0D88"/>
    <w:rsid w:val="00BE1866"/>
    <w:rsid w:val="00BE7F6E"/>
    <w:rsid w:val="00BF2607"/>
    <w:rsid w:val="00BF28E8"/>
    <w:rsid w:val="00BF2966"/>
    <w:rsid w:val="00C024B0"/>
    <w:rsid w:val="00C02EBA"/>
    <w:rsid w:val="00C03FBE"/>
    <w:rsid w:val="00C04A7D"/>
    <w:rsid w:val="00C0617C"/>
    <w:rsid w:val="00C122CD"/>
    <w:rsid w:val="00C13126"/>
    <w:rsid w:val="00C21E47"/>
    <w:rsid w:val="00C22AC3"/>
    <w:rsid w:val="00C23532"/>
    <w:rsid w:val="00C30DD8"/>
    <w:rsid w:val="00C348F9"/>
    <w:rsid w:val="00C36E77"/>
    <w:rsid w:val="00C40820"/>
    <w:rsid w:val="00C423A8"/>
    <w:rsid w:val="00C53336"/>
    <w:rsid w:val="00C539BB"/>
    <w:rsid w:val="00C54258"/>
    <w:rsid w:val="00C54689"/>
    <w:rsid w:val="00C62904"/>
    <w:rsid w:val="00C663FB"/>
    <w:rsid w:val="00C7206F"/>
    <w:rsid w:val="00C73C52"/>
    <w:rsid w:val="00C765FD"/>
    <w:rsid w:val="00C82AFB"/>
    <w:rsid w:val="00C82FE8"/>
    <w:rsid w:val="00C83316"/>
    <w:rsid w:val="00C83EB2"/>
    <w:rsid w:val="00C84012"/>
    <w:rsid w:val="00C86A22"/>
    <w:rsid w:val="00C86E16"/>
    <w:rsid w:val="00C96BC6"/>
    <w:rsid w:val="00C970B7"/>
    <w:rsid w:val="00CA4C16"/>
    <w:rsid w:val="00CC0539"/>
    <w:rsid w:val="00CC0D20"/>
    <w:rsid w:val="00CC4266"/>
    <w:rsid w:val="00CC64DC"/>
    <w:rsid w:val="00CD018B"/>
    <w:rsid w:val="00CD1599"/>
    <w:rsid w:val="00CD7670"/>
    <w:rsid w:val="00CE405C"/>
    <w:rsid w:val="00CE69B3"/>
    <w:rsid w:val="00CF10B7"/>
    <w:rsid w:val="00CF386B"/>
    <w:rsid w:val="00CF47C6"/>
    <w:rsid w:val="00CF4984"/>
    <w:rsid w:val="00D03272"/>
    <w:rsid w:val="00D15705"/>
    <w:rsid w:val="00D17284"/>
    <w:rsid w:val="00D23D78"/>
    <w:rsid w:val="00D252A6"/>
    <w:rsid w:val="00D32696"/>
    <w:rsid w:val="00D338A9"/>
    <w:rsid w:val="00D4080A"/>
    <w:rsid w:val="00D47302"/>
    <w:rsid w:val="00D71B61"/>
    <w:rsid w:val="00D72B09"/>
    <w:rsid w:val="00D83E7A"/>
    <w:rsid w:val="00D84831"/>
    <w:rsid w:val="00D9195F"/>
    <w:rsid w:val="00D91CD5"/>
    <w:rsid w:val="00D94F6E"/>
    <w:rsid w:val="00D97415"/>
    <w:rsid w:val="00DA5DE5"/>
    <w:rsid w:val="00DA67B7"/>
    <w:rsid w:val="00DB3E70"/>
    <w:rsid w:val="00DB606E"/>
    <w:rsid w:val="00DB769E"/>
    <w:rsid w:val="00DB7B17"/>
    <w:rsid w:val="00DD0DCA"/>
    <w:rsid w:val="00DD5760"/>
    <w:rsid w:val="00DD6580"/>
    <w:rsid w:val="00DE7E8D"/>
    <w:rsid w:val="00DF79A2"/>
    <w:rsid w:val="00DF7E27"/>
    <w:rsid w:val="00E03E5A"/>
    <w:rsid w:val="00E14934"/>
    <w:rsid w:val="00E14FCE"/>
    <w:rsid w:val="00E21191"/>
    <w:rsid w:val="00E24A62"/>
    <w:rsid w:val="00E43CBF"/>
    <w:rsid w:val="00E44A57"/>
    <w:rsid w:val="00E44CE7"/>
    <w:rsid w:val="00E50122"/>
    <w:rsid w:val="00E524CC"/>
    <w:rsid w:val="00E5488E"/>
    <w:rsid w:val="00E55C54"/>
    <w:rsid w:val="00E560CB"/>
    <w:rsid w:val="00E575CE"/>
    <w:rsid w:val="00E6320A"/>
    <w:rsid w:val="00E76A16"/>
    <w:rsid w:val="00E83067"/>
    <w:rsid w:val="00E84339"/>
    <w:rsid w:val="00E85A67"/>
    <w:rsid w:val="00E9103B"/>
    <w:rsid w:val="00E92455"/>
    <w:rsid w:val="00E972BF"/>
    <w:rsid w:val="00EA2045"/>
    <w:rsid w:val="00EA2414"/>
    <w:rsid w:val="00EA3E45"/>
    <w:rsid w:val="00EA5B58"/>
    <w:rsid w:val="00EB0DCF"/>
    <w:rsid w:val="00EB3183"/>
    <w:rsid w:val="00EB381E"/>
    <w:rsid w:val="00EC19EC"/>
    <w:rsid w:val="00EC51EB"/>
    <w:rsid w:val="00EC7D73"/>
    <w:rsid w:val="00ED0533"/>
    <w:rsid w:val="00ED6301"/>
    <w:rsid w:val="00EE1105"/>
    <w:rsid w:val="00EE3D11"/>
    <w:rsid w:val="00EE5298"/>
    <w:rsid w:val="00EE58C5"/>
    <w:rsid w:val="00EF1F3F"/>
    <w:rsid w:val="00EF4167"/>
    <w:rsid w:val="00EF69CD"/>
    <w:rsid w:val="00EF71C1"/>
    <w:rsid w:val="00F00C64"/>
    <w:rsid w:val="00F06B23"/>
    <w:rsid w:val="00F1103B"/>
    <w:rsid w:val="00F110CF"/>
    <w:rsid w:val="00F122E0"/>
    <w:rsid w:val="00F153C9"/>
    <w:rsid w:val="00F1587A"/>
    <w:rsid w:val="00F15AE9"/>
    <w:rsid w:val="00F16FE0"/>
    <w:rsid w:val="00F174DC"/>
    <w:rsid w:val="00F21238"/>
    <w:rsid w:val="00F2612A"/>
    <w:rsid w:val="00F263B6"/>
    <w:rsid w:val="00F355C9"/>
    <w:rsid w:val="00F36CA5"/>
    <w:rsid w:val="00F40975"/>
    <w:rsid w:val="00F40CA5"/>
    <w:rsid w:val="00F453BA"/>
    <w:rsid w:val="00F46080"/>
    <w:rsid w:val="00F50A1A"/>
    <w:rsid w:val="00F62528"/>
    <w:rsid w:val="00F63F0B"/>
    <w:rsid w:val="00F66D7E"/>
    <w:rsid w:val="00F7417E"/>
    <w:rsid w:val="00F75278"/>
    <w:rsid w:val="00F839DB"/>
    <w:rsid w:val="00F84AD8"/>
    <w:rsid w:val="00F93693"/>
    <w:rsid w:val="00F97E6D"/>
    <w:rsid w:val="00FA0A05"/>
    <w:rsid w:val="00FA1D17"/>
    <w:rsid w:val="00FA7966"/>
    <w:rsid w:val="00FB07BE"/>
    <w:rsid w:val="00FB091C"/>
    <w:rsid w:val="00FB09F5"/>
    <w:rsid w:val="00FB35B8"/>
    <w:rsid w:val="00FC1275"/>
    <w:rsid w:val="00FC4FAF"/>
    <w:rsid w:val="00FC5910"/>
    <w:rsid w:val="00FD26CA"/>
    <w:rsid w:val="00FD27D6"/>
    <w:rsid w:val="00FE6A1D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67BC5859"/>
  <w15:docId w15:val="{D695DF0C-371B-433E-A3A7-23F475B7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rsid w:val="003137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3137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37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WEBody">
    <w:name w:val="TWE Body"/>
    <w:basedOn w:val="Normal"/>
    <w:autoRedefine/>
    <w:rsid w:val="005173F3"/>
    <w:pPr>
      <w:ind w:left="-567" w:right="-737"/>
    </w:pPr>
    <w:rPr>
      <w:rFonts w:ascii="Univers LT Std 45 Light" w:hAnsi="Univers LT Std 45 Light" w:cs="Times New Roman"/>
      <w:sz w:val="22"/>
      <w:szCs w:val="22"/>
      <w:lang w:eastAsia="en-GB"/>
    </w:rPr>
  </w:style>
  <w:style w:type="paragraph" w:customStyle="1" w:styleId="TWETabRHS">
    <w:name w:val="TWE Tab RHS"/>
    <w:basedOn w:val="TWEBody"/>
    <w:autoRedefine/>
    <w:rsid w:val="005173F3"/>
    <w:pPr>
      <w:tabs>
        <w:tab w:val="right" w:pos="5387"/>
      </w:tabs>
      <w:spacing w:after="120"/>
    </w:pPr>
    <w:rPr>
      <w:szCs w:val="17"/>
    </w:rPr>
  </w:style>
  <w:style w:type="paragraph" w:customStyle="1" w:styleId="p1">
    <w:name w:val="p1"/>
    <w:basedOn w:val="Normal"/>
    <w:rsid w:val="005361CC"/>
    <w:rPr>
      <w:rFonts w:ascii="Calibri" w:hAnsi="Calibri" w:cs="Times New Roman"/>
      <w:sz w:val="56"/>
      <w:szCs w:val="56"/>
      <w:lang w:eastAsia="en-GB"/>
    </w:rPr>
  </w:style>
  <w:style w:type="paragraph" w:customStyle="1" w:styleId="p2">
    <w:name w:val="p2"/>
    <w:basedOn w:val="Normal"/>
    <w:rsid w:val="00691C0C"/>
    <w:pPr>
      <w:spacing w:before="44" w:after="44"/>
    </w:pPr>
    <w:rPr>
      <w:rFonts w:ascii="Calibri" w:hAnsi="Calibri" w:cs="Times New Roman"/>
      <w:color w:val="5A6B78"/>
      <w:sz w:val="18"/>
      <w:szCs w:val="18"/>
      <w:lang w:eastAsia="en-GB"/>
    </w:rPr>
  </w:style>
  <w:style w:type="paragraph" w:customStyle="1" w:styleId="p3">
    <w:name w:val="p3"/>
    <w:basedOn w:val="Normal"/>
    <w:rsid w:val="00691C0C"/>
    <w:pPr>
      <w:spacing w:after="128"/>
    </w:pPr>
    <w:rPr>
      <w:rFonts w:ascii="Calibri" w:hAnsi="Calibri" w:cs="Times New Roman"/>
      <w:sz w:val="17"/>
      <w:szCs w:val="17"/>
      <w:lang w:eastAsia="en-GB"/>
    </w:rPr>
  </w:style>
  <w:style w:type="paragraph" w:customStyle="1" w:styleId="p4">
    <w:name w:val="p4"/>
    <w:basedOn w:val="Normal"/>
    <w:rsid w:val="00691C0C"/>
    <w:pPr>
      <w:spacing w:after="128"/>
      <w:ind w:left="270" w:hanging="270"/>
    </w:pPr>
    <w:rPr>
      <w:rFonts w:ascii="Calibri" w:hAnsi="Calibri" w:cs="Times New Roman"/>
      <w:sz w:val="17"/>
      <w:szCs w:val="17"/>
      <w:lang w:eastAsia="en-GB"/>
    </w:rPr>
  </w:style>
  <w:style w:type="character" w:customStyle="1" w:styleId="apple-converted-space">
    <w:name w:val="apple-converted-space"/>
    <w:basedOn w:val="DefaultParagraphFont"/>
    <w:rsid w:val="00691C0C"/>
  </w:style>
  <w:style w:type="paragraph" w:styleId="ListParagraph">
    <w:name w:val="List Paragraph"/>
    <w:basedOn w:val="Normal"/>
    <w:uiPriority w:val="34"/>
    <w:qFormat/>
    <w:rsid w:val="00691C0C"/>
    <w:pPr>
      <w:ind w:left="720"/>
      <w:contextualSpacing/>
    </w:pPr>
  </w:style>
  <w:style w:type="paragraph" w:customStyle="1" w:styleId="LPA-Bullets1">
    <w:name w:val="LPA - Bullets 1"/>
    <w:basedOn w:val="LPA-MainHeading"/>
    <w:autoRedefine/>
    <w:qFormat/>
    <w:rsid w:val="007F3303"/>
    <w:pPr>
      <w:numPr>
        <w:numId w:val="1"/>
      </w:numPr>
      <w:tabs>
        <w:tab w:val="left" w:pos="0"/>
        <w:tab w:val="left" w:pos="8505"/>
      </w:tabs>
      <w:spacing w:after="100" w:line="280" w:lineRule="exact"/>
    </w:pPr>
    <w:rPr>
      <w:rFonts w:ascii="Calibri" w:hAnsi="Calibri" w:cs="Times New Roman"/>
      <w:b w:val="0"/>
      <w:color w:val="auto"/>
      <w:sz w:val="21"/>
      <w:szCs w:val="22"/>
      <w:lang w:eastAsia="en-GB"/>
    </w:rPr>
  </w:style>
  <w:style w:type="paragraph" w:customStyle="1" w:styleId="LPA-Numberedlist">
    <w:name w:val="LPA - Numbered list"/>
    <w:autoRedefine/>
    <w:qFormat/>
    <w:rsid w:val="009A283E"/>
    <w:pPr>
      <w:numPr>
        <w:numId w:val="2"/>
      </w:numPr>
      <w:spacing w:after="120" w:line="280" w:lineRule="exact"/>
    </w:pPr>
    <w:rPr>
      <w:rFonts w:ascii="Calibri" w:hAnsi="Calibri" w:cs="Times New Roman"/>
      <w:sz w:val="21"/>
      <w:szCs w:val="22"/>
      <w:lang w:eastAsia="en-GB"/>
    </w:rPr>
  </w:style>
  <w:style w:type="character" w:customStyle="1" w:styleId="apple-tab-span">
    <w:name w:val="apple-tab-span"/>
    <w:basedOn w:val="DefaultParagraphFont"/>
    <w:rsid w:val="002A1024"/>
  </w:style>
  <w:style w:type="paragraph" w:styleId="Header">
    <w:name w:val="header"/>
    <w:basedOn w:val="Normal"/>
    <w:link w:val="HeaderChar"/>
    <w:uiPriority w:val="99"/>
    <w:unhideWhenUsed/>
    <w:rsid w:val="00265B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BAF"/>
  </w:style>
  <w:style w:type="paragraph" w:styleId="Footer">
    <w:name w:val="footer"/>
    <w:basedOn w:val="Normal"/>
    <w:link w:val="FooterChar"/>
    <w:uiPriority w:val="99"/>
    <w:unhideWhenUsed/>
    <w:rsid w:val="00265B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BAF"/>
  </w:style>
  <w:style w:type="character" w:styleId="PageNumber">
    <w:name w:val="page number"/>
    <w:basedOn w:val="DefaultParagraphFont"/>
    <w:uiPriority w:val="99"/>
    <w:semiHidden/>
    <w:unhideWhenUsed/>
    <w:rsid w:val="00975DBB"/>
  </w:style>
  <w:style w:type="paragraph" w:customStyle="1" w:styleId="LPA-Body">
    <w:name w:val="LPA - Body"/>
    <w:qFormat/>
    <w:rsid w:val="0023708B"/>
    <w:pPr>
      <w:spacing w:after="240" w:line="280" w:lineRule="exact"/>
    </w:pPr>
    <w:rPr>
      <w:rFonts w:ascii="Calibri" w:hAnsi="Calibri" w:cs="Times New Roman"/>
      <w:sz w:val="21"/>
      <w:szCs w:val="22"/>
      <w:lang w:eastAsia="en-GB"/>
    </w:rPr>
  </w:style>
  <w:style w:type="paragraph" w:customStyle="1" w:styleId="LPA-BodyBold">
    <w:name w:val="LPA - Body Bold"/>
    <w:qFormat/>
    <w:rsid w:val="00FA0A05"/>
    <w:pPr>
      <w:spacing w:before="240" w:after="120" w:line="280" w:lineRule="exact"/>
    </w:pPr>
    <w:rPr>
      <w:rFonts w:ascii="Calibri" w:hAnsi="Calibri" w:cs="Times New Roman"/>
      <w:b/>
      <w:bCs/>
      <w:color w:val="808080" w:themeColor="background1" w:themeShade="80"/>
      <w:sz w:val="21"/>
      <w:szCs w:val="22"/>
      <w:lang w:eastAsia="en-GB"/>
    </w:rPr>
  </w:style>
  <w:style w:type="paragraph" w:customStyle="1" w:styleId="LPA-CopyHeading1">
    <w:name w:val="LPA - Copy Heading 1"/>
    <w:autoRedefine/>
    <w:qFormat/>
    <w:rsid w:val="00201EFF"/>
    <w:pPr>
      <w:spacing w:before="120" w:after="240"/>
    </w:pPr>
    <w:rPr>
      <w:rFonts w:ascii="Calibri" w:hAnsi="Calibri" w:cs="Times New Roman"/>
      <w:b/>
      <w:bCs/>
      <w:color w:val="C02144"/>
      <w:sz w:val="28"/>
      <w:szCs w:val="28"/>
      <w:lang w:eastAsia="en-GB"/>
    </w:rPr>
  </w:style>
  <w:style w:type="paragraph" w:customStyle="1" w:styleId="LPA-CopyHeading2">
    <w:name w:val="LPA - Copy Heading 2"/>
    <w:autoRedefine/>
    <w:qFormat/>
    <w:rsid w:val="00C22AC3"/>
    <w:pPr>
      <w:numPr>
        <w:ilvl w:val="1"/>
        <w:numId w:val="3"/>
      </w:numPr>
      <w:spacing w:before="240" w:after="120"/>
    </w:pPr>
    <w:rPr>
      <w:rFonts w:ascii="Calibri" w:hAnsi="Calibri" w:cs="Times New Roman"/>
      <w:b/>
      <w:bCs/>
      <w:caps/>
      <w:color w:val="5A6B78"/>
      <w:lang w:eastAsia="en-GB"/>
    </w:rPr>
  </w:style>
  <w:style w:type="paragraph" w:styleId="TOC1">
    <w:name w:val="toc 1"/>
    <w:next w:val="Normal"/>
    <w:autoRedefine/>
    <w:uiPriority w:val="39"/>
    <w:rsid w:val="00C54689"/>
    <w:pPr>
      <w:tabs>
        <w:tab w:val="left" w:pos="454"/>
        <w:tab w:val="left" w:pos="480"/>
        <w:tab w:val="right" w:leader="dot" w:pos="9010"/>
      </w:tabs>
      <w:spacing w:before="120"/>
    </w:pPr>
    <w:rPr>
      <w:b/>
      <w:bCs/>
      <w:iCs/>
      <w:lang w:val="en-AU"/>
    </w:rPr>
  </w:style>
  <w:style w:type="paragraph" w:styleId="TOC2">
    <w:name w:val="toc 2"/>
    <w:next w:val="Normal"/>
    <w:autoRedefine/>
    <w:uiPriority w:val="39"/>
    <w:rsid w:val="00C54689"/>
    <w:pPr>
      <w:spacing w:before="120"/>
      <w:ind w:left="567"/>
    </w:pPr>
    <w:rPr>
      <w:bCs/>
      <w:sz w:val="21"/>
      <w:szCs w:val="22"/>
      <w:lang w:val="en-AU"/>
    </w:rPr>
  </w:style>
  <w:style w:type="paragraph" w:styleId="TOC3">
    <w:name w:val="toc 3"/>
    <w:basedOn w:val="Normal"/>
    <w:next w:val="Normal"/>
    <w:autoRedefine/>
    <w:uiPriority w:val="39"/>
    <w:rsid w:val="008B0774"/>
    <w:pPr>
      <w:ind w:left="480"/>
    </w:pPr>
    <w:rPr>
      <w:sz w:val="20"/>
      <w:szCs w:val="20"/>
    </w:rPr>
  </w:style>
  <w:style w:type="character" w:styleId="Hyperlink">
    <w:name w:val="Hyperlink"/>
    <w:uiPriority w:val="99"/>
    <w:unhideWhenUsed/>
    <w:rsid w:val="00767F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7F88"/>
    <w:rPr>
      <w:color w:val="954F72" w:themeColor="followedHyperlink"/>
      <w:u w:val="single"/>
    </w:rPr>
  </w:style>
  <w:style w:type="paragraph" w:styleId="NoSpacing">
    <w:name w:val="No Spacing"/>
    <w:uiPriority w:val="1"/>
    <w:rsid w:val="00741245"/>
    <w:rPr>
      <w:sz w:val="22"/>
      <w:szCs w:val="22"/>
      <w:lang w:val="en-AU"/>
    </w:rPr>
  </w:style>
  <w:style w:type="table" w:styleId="TableGrid">
    <w:name w:val="Table Grid"/>
    <w:basedOn w:val="TableNormal"/>
    <w:uiPriority w:val="59"/>
    <w:rsid w:val="00741245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PA-MainHeading">
    <w:name w:val="LPA - Main Heading"/>
    <w:autoRedefine/>
    <w:qFormat/>
    <w:rsid w:val="00A93D4D"/>
    <w:rPr>
      <w:b/>
      <w:color w:val="C02144"/>
      <w:sz w:val="40"/>
      <w:szCs w:val="40"/>
      <w:lang w:val="en-US"/>
    </w:rPr>
  </w:style>
  <w:style w:type="paragraph" w:customStyle="1" w:styleId="LPA-Subheading">
    <w:name w:val="LPA - Subheading"/>
    <w:autoRedefine/>
    <w:qFormat/>
    <w:rsid w:val="00D84831"/>
    <w:pPr>
      <w:ind w:left="284" w:hanging="284"/>
    </w:pPr>
    <w:rPr>
      <w:color w:val="000000" w:themeColor="text1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6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642"/>
    <w:rPr>
      <w:rFonts w:ascii="Segoe UI" w:hAnsi="Segoe UI" w:cs="Segoe UI"/>
      <w:sz w:val="18"/>
      <w:szCs w:val="18"/>
    </w:rPr>
  </w:style>
  <w:style w:type="paragraph" w:customStyle="1" w:styleId="LPA-CopyHeading1List">
    <w:name w:val="LPA - Copy Heading 1 List"/>
    <w:basedOn w:val="LPA-CopyHeading1"/>
    <w:rsid w:val="00CF386B"/>
    <w:pPr>
      <w:numPr>
        <w:numId w:val="3"/>
      </w:numPr>
      <w:spacing w:before="240"/>
    </w:pPr>
    <w:rPr>
      <w:lang w:val="en-AU"/>
    </w:rPr>
  </w:style>
  <w:style w:type="paragraph" w:styleId="Caption">
    <w:name w:val="caption"/>
    <w:basedOn w:val="Normal"/>
    <w:next w:val="Normal"/>
    <w:uiPriority w:val="35"/>
    <w:unhideWhenUsed/>
    <w:qFormat/>
    <w:rsid w:val="004F6A09"/>
    <w:pPr>
      <w:spacing w:after="200"/>
    </w:pPr>
    <w:rPr>
      <w:b/>
      <w:i/>
      <w:iCs/>
      <w:color w:val="44546A" w:themeColor="text2"/>
      <w:sz w:val="20"/>
      <w:szCs w:val="18"/>
    </w:rPr>
  </w:style>
  <w:style w:type="paragraph" w:styleId="NormalWeb">
    <w:name w:val="Normal (Web)"/>
    <w:basedOn w:val="Normal"/>
    <w:uiPriority w:val="99"/>
    <w:semiHidden/>
    <w:unhideWhenUsed/>
    <w:rsid w:val="00967D87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365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5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550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550"/>
    <w:rPr>
      <w:b/>
      <w:bCs/>
      <w:sz w:val="20"/>
      <w:szCs w:val="2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25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2543"/>
    <w:rPr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3A2543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31371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313719"/>
    <w:pPr>
      <w:spacing w:line="259" w:lineRule="auto"/>
      <w:outlineLvl w:val="9"/>
    </w:pPr>
    <w:rPr>
      <w:rFonts w:ascii="Calibri" w:hAnsi="Calibri"/>
      <w:b/>
      <w:color w:val="C0214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371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3719"/>
    <w:rPr>
      <w:rFonts w:asciiTheme="majorHAnsi" w:eastAsiaTheme="majorEastAsia" w:hAnsiTheme="majorHAnsi" w:cstheme="majorBidi"/>
      <w:color w:val="1F3763" w:themeColor="accent1" w:themeShade="7F"/>
      <w:lang w:val="en-AU"/>
    </w:rPr>
  </w:style>
  <w:style w:type="paragraph" w:styleId="TOC4">
    <w:name w:val="toc 4"/>
    <w:basedOn w:val="Normal"/>
    <w:next w:val="Normal"/>
    <w:autoRedefine/>
    <w:uiPriority w:val="39"/>
    <w:unhideWhenUsed/>
    <w:rsid w:val="00C54689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54689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C54689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C54689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C54689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C54689"/>
    <w:pPr>
      <w:ind w:left="1920"/>
    </w:pPr>
    <w:rPr>
      <w:sz w:val="20"/>
      <w:szCs w:val="20"/>
    </w:rPr>
  </w:style>
  <w:style w:type="paragraph" w:customStyle="1" w:styleId="LPA-TableBody">
    <w:name w:val="LPA - Table Body"/>
    <w:basedOn w:val="LPA-Body"/>
    <w:rsid w:val="00115218"/>
    <w:pPr>
      <w:spacing w:before="60" w:after="60"/>
    </w:pPr>
    <w:rPr>
      <w:lang w:val="en-AU"/>
    </w:rPr>
  </w:style>
  <w:style w:type="paragraph" w:customStyle="1" w:styleId="LPA-TableBullets">
    <w:name w:val="LPA - Table Bullets"/>
    <w:basedOn w:val="LPA-Bullets1"/>
    <w:rsid w:val="00115218"/>
    <w:pPr>
      <w:spacing w:before="60" w:after="60"/>
      <w:ind w:left="425"/>
    </w:pPr>
  </w:style>
  <w:style w:type="character" w:customStyle="1" w:styleId="normaltextrun">
    <w:name w:val="normaltextrun"/>
    <w:basedOn w:val="DefaultParagraphFont"/>
    <w:rsid w:val="005258BA"/>
  </w:style>
  <w:style w:type="character" w:customStyle="1" w:styleId="eop">
    <w:name w:val="eop"/>
    <w:basedOn w:val="DefaultParagraphFont"/>
    <w:rsid w:val="0024206F"/>
  </w:style>
  <w:style w:type="paragraph" w:customStyle="1" w:styleId="paragraph">
    <w:name w:val="paragraph"/>
    <w:basedOn w:val="Normal"/>
    <w:rsid w:val="007937A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paragraph" w:customStyle="1" w:styleId="LPA-Bullets2">
    <w:name w:val="LPA - Bullets 2"/>
    <w:basedOn w:val="LPA-Bullets1"/>
    <w:rsid w:val="005639B8"/>
    <w:pPr>
      <w:numPr>
        <w:numId w:val="26"/>
      </w:numPr>
    </w:pPr>
  </w:style>
  <w:style w:type="paragraph" w:customStyle="1" w:styleId="LPA-Numberedlist2">
    <w:name w:val="LPA - Numbered list 2"/>
    <w:basedOn w:val="LPA-Numberedlist"/>
    <w:rsid w:val="009A283E"/>
    <w:pPr>
      <w:numPr>
        <w:numId w:val="32"/>
      </w:numPr>
      <w:ind w:left="425" w:hanging="312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6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36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35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F287B-7998-4387-B5D0-663CC8256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Berardone</dc:creator>
  <cp:keywords/>
  <dc:description/>
  <cp:lastModifiedBy>Kim Tran</cp:lastModifiedBy>
  <cp:revision>4</cp:revision>
  <cp:lastPrinted>2020-07-29T04:05:00Z</cp:lastPrinted>
  <dcterms:created xsi:type="dcterms:W3CDTF">2020-08-20T13:25:00Z</dcterms:created>
  <dcterms:modified xsi:type="dcterms:W3CDTF">2020-08-20T13:49:00Z</dcterms:modified>
</cp:coreProperties>
</file>